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9A851" w14:textId="632B47EE" w:rsidR="003809BD" w:rsidRPr="009F5958" w:rsidRDefault="003809BD" w:rsidP="003809BD">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040118">
        <w:rPr>
          <w:rFonts w:ascii="Arial" w:hAnsi="Arial" w:cs="Arial"/>
          <w:b/>
          <w:sz w:val="24"/>
          <w:szCs w:val="24"/>
        </w:rPr>
        <w:t xml:space="preserve">3GPP TSG-RAN WG4 </w:t>
      </w:r>
      <w:r w:rsidRPr="009F5958">
        <w:rPr>
          <w:rFonts w:ascii="Arial" w:hAnsi="Arial" w:cs="Arial"/>
          <w:b/>
          <w:sz w:val="24"/>
          <w:szCs w:val="24"/>
        </w:rPr>
        <w:t>Meeting #</w:t>
      </w:r>
      <w:r w:rsidRPr="009F5958">
        <w:t xml:space="preserve"> </w:t>
      </w:r>
      <w:r w:rsidRPr="009F5958">
        <w:rPr>
          <w:rFonts w:ascii="Arial" w:hAnsi="Arial" w:cs="Arial"/>
          <w:b/>
          <w:sz w:val="24"/>
          <w:szCs w:val="24"/>
        </w:rPr>
        <w:t>10</w:t>
      </w:r>
      <w:r w:rsidR="00FF71AD" w:rsidRPr="009F5958">
        <w:rPr>
          <w:rFonts w:ascii="Arial" w:hAnsi="Arial" w:cs="Arial"/>
          <w:b/>
          <w:sz w:val="24"/>
          <w:szCs w:val="24"/>
        </w:rPr>
        <w:t>2</w:t>
      </w:r>
      <w:r w:rsidRPr="009F5958">
        <w:rPr>
          <w:rFonts w:ascii="Arial" w:hAnsi="Arial" w:cs="Arial"/>
          <w:b/>
          <w:sz w:val="24"/>
          <w:szCs w:val="24"/>
        </w:rPr>
        <w:t xml:space="preserve">-e </w:t>
      </w:r>
      <w:r w:rsidRPr="009F5958">
        <w:rPr>
          <w:rFonts w:ascii="Arial" w:hAnsi="Arial" w:cs="Arial"/>
          <w:b/>
          <w:sz w:val="24"/>
          <w:szCs w:val="24"/>
        </w:rPr>
        <w:tab/>
      </w:r>
      <w:r w:rsidRPr="009F5958">
        <w:rPr>
          <w:rFonts w:ascii="Arial" w:hAnsi="Arial" w:cs="Arial"/>
          <w:b/>
          <w:sz w:val="24"/>
          <w:szCs w:val="24"/>
        </w:rPr>
        <w:tab/>
      </w:r>
      <w:r w:rsidR="00EB58F0" w:rsidRPr="00EB58F0">
        <w:rPr>
          <w:rFonts w:ascii="Arial" w:hAnsi="Arial" w:cs="Arial"/>
          <w:b/>
          <w:sz w:val="24"/>
          <w:szCs w:val="24"/>
        </w:rPr>
        <w:t>R4-2204544</w:t>
      </w:r>
    </w:p>
    <w:p w14:paraId="4CA146F7" w14:textId="1586E626" w:rsidR="00156999" w:rsidRPr="00040118" w:rsidRDefault="003809BD" w:rsidP="003809BD">
      <w:pPr>
        <w:pStyle w:val="Header"/>
        <w:tabs>
          <w:tab w:val="right" w:pos="9781"/>
          <w:tab w:val="right" w:pos="13323"/>
        </w:tabs>
        <w:outlineLvl w:val="0"/>
        <w:rPr>
          <w:rFonts w:ascii="Arial" w:eastAsia="SimSun" w:hAnsi="Arial" w:cs="Times New Roman"/>
          <w:b/>
          <w:sz w:val="24"/>
          <w:szCs w:val="24"/>
          <w:lang w:eastAsia="zh-CN"/>
        </w:rPr>
      </w:pPr>
      <w:r w:rsidRPr="009F5958">
        <w:rPr>
          <w:rFonts w:ascii="Arial" w:eastAsia="SimSun" w:hAnsi="Arial"/>
          <w:b/>
          <w:sz w:val="24"/>
          <w:szCs w:val="24"/>
          <w:lang w:eastAsia="zh-CN"/>
        </w:rPr>
        <w:t xml:space="preserve">Electronic Meeting, </w:t>
      </w:r>
      <w:r w:rsidR="00FF71AD" w:rsidRPr="009F5958">
        <w:rPr>
          <w:rFonts w:ascii="Arial" w:eastAsia="SimSun" w:hAnsi="Arial"/>
          <w:b/>
          <w:sz w:val="24"/>
          <w:szCs w:val="24"/>
          <w:lang w:eastAsia="zh-CN"/>
        </w:rPr>
        <w:t>February 21 to March 03</w:t>
      </w:r>
      <w:r w:rsidRPr="009F5958">
        <w:rPr>
          <w:rFonts w:ascii="Arial" w:eastAsia="SimSun" w:hAnsi="Arial"/>
          <w:b/>
          <w:sz w:val="24"/>
          <w:szCs w:val="24"/>
          <w:lang w:eastAsia="zh-CN"/>
        </w:rPr>
        <w:t>, 202</w:t>
      </w:r>
      <w:r w:rsidR="00FF71AD" w:rsidRPr="009F5958">
        <w:rPr>
          <w:rFonts w:ascii="Arial" w:eastAsia="SimSun" w:hAnsi="Arial"/>
          <w:b/>
          <w:sz w:val="24"/>
          <w:szCs w:val="24"/>
          <w:lang w:eastAsia="zh-CN"/>
        </w:rPr>
        <w:t>2</w:t>
      </w:r>
    </w:p>
    <w:p w14:paraId="14D63011" w14:textId="77777777" w:rsidR="00841BCD" w:rsidRPr="0004011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FEBC89" w14:textId="77777777" w:rsidR="00841BCD" w:rsidRPr="00040118" w:rsidRDefault="00841BCD" w:rsidP="00841BCD">
      <w:pPr>
        <w:tabs>
          <w:tab w:val="left" w:pos="1985"/>
        </w:tabs>
        <w:ind w:left="1985" w:hanging="1985"/>
        <w:rPr>
          <w:rFonts w:ascii="Arial" w:eastAsia="Calibri" w:hAnsi="Arial" w:cs="Arial"/>
          <w:b/>
          <w:bCs/>
          <w:sz w:val="24"/>
        </w:rPr>
      </w:pPr>
      <w:r w:rsidRPr="00040118">
        <w:rPr>
          <w:rFonts w:ascii="Arial" w:eastAsia="Calibri" w:hAnsi="Arial" w:cs="Arial"/>
          <w:b/>
          <w:bCs/>
          <w:sz w:val="24"/>
        </w:rPr>
        <w:t>Source:</w:t>
      </w:r>
      <w:r w:rsidRPr="00040118">
        <w:rPr>
          <w:rFonts w:ascii="Arial" w:eastAsia="Calibri" w:hAnsi="Arial" w:cs="Arial"/>
          <w:b/>
          <w:bCs/>
          <w:sz w:val="24"/>
        </w:rPr>
        <w:tab/>
        <w:t xml:space="preserve">Nokia, </w:t>
      </w:r>
      <w:r w:rsidR="0043750A" w:rsidRPr="00040118">
        <w:rPr>
          <w:rFonts w:ascii="Arial" w:eastAsia="Calibri" w:hAnsi="Arial" w:cs="Arial"/>
          <w:b/>
          <w:bCs/>
          <w:sz w:val="24"/>
        </w:rPr>
        <w:t>Nokia</w:t>
      </w:r>
      <w:r w:rsidRPr="00040118">
        <w:rPr>
          <w:rFonts w:ascii="Arial" w:eastAsia="Calibri" w:hAnsi="Arial" w:cs="Arial"/>
          <w:b/>
          <w:bCs/>
          <w:sz w:val="24"/>
        </w:rPr>
        <w:t xml:space="preserve"> Shanghai Bell</w:t>
      </w:r>
      <w:r w:rsidRPr="00040118" w:rsidDel="00636277">
        <w:rPr>
          <w:rFonts w:ascii="Arial" w:eastAsia="Calibri" w:hAnsi="Arial" w:cs="Arial"/>
          <w:b/>
          <w:bCs/>
          <w:sz w:val="24"/>
        </w:rPr>
        <w:t xml:space="preserve"> </w:t>
      </w:r>
    </w:p>
    <w:p w14:paraId="0293D51A" w14:textId="0D114775" w:rsidR="00841BCD" w:rsidRPr="00040118" w:rsidRDefault="00841BCD" w:rsidP="00841BCD">
      <w:pPr>
        <w:ind w:left="1985" w:hanging="1985"/>
        <w:rPr>
          <w:rFonts w:ascii="Arial" w:eastAsia="Calibri" w:hAnsi="Arial" w:cs="Arial"/>
          <w:b/>
          <w:bCs/>
          <w:sz w:val="24"/>
        </w:rPr>
      </w:pPr>
      <w:r w:rsidRPr="00040118">
        <w:rPr>
          <w:rFonts w:ascii="Arial" w:eastAsia="Calibri" w:hAnsi="Arial" w:cs="Arial"/>
          <w:b/>
          <w:bCs/>
          <w:sz w:val="24"/>
        </w:rPr>
        <w:t>Title:</w:t>
      </w:r>
      <w:r w:rsidRPr="00040118">
        <w:rPr>
          <w:rFonts w:ascii="Arial" w:eastAsia="Calibri" w:hAnsi="Arial" w:cs="Arial"/>
          <w:b/>
          <w:bCs/>
          <w:sz w:val="24"/>
        </w:rPr>
        <w:tab/>
      </w:r>
      <w:r w:rsidR="002168F0" w:rsidRPr="00040118">
        <w:rPr>
          <w:rFonts w:ascii="Arial" w:eastAsia="Calibri" w:hAnsi="Arial" w:cs="Arial"/>
          <w:b/>
          <w:bCs/>
          <w:sz w:val="24"/>
        </w:rPr>
        <w:t xml:space="preserve">On </w:t>
      </w:r>
      <w:r w:rsidR="00FF71AD" w:rsidRPr="00040118">
        <w:rPr>
          <w:rFonts w:ascii="Arial" w:eastAsia="Calibri" w:hAnsi="Arial" w:cs="Arial"/>
          <w:b/>
          <w:bCs/>
          <w:sz w:val="24"/>
        </w:rPr>
        <w:t>DRX configurations for NR-DC and NE-DC</w:t>
      </w:r>
    </w:p>
    <w:p w14:paraId="7C62E756" w14:textId="087A83C1" w:rsidR="00841BCD" w:rsidRPr="00040118" w:rsidRDefault="00841BCD" w:rsidP="00841BCD">
      <w:pPr>
        <w:tabs>
          <w:tab w:val="left" w:pos="1985"/>
        </w:tabs>
        <w:spacing w:after="120" w:line="240" w:lineRule="auto"/>
        <w:rPr>
          <w:rFonts w:ascii="Arial" w:eastAsia="MS Mincho" w:hAnsi="Arial" w:cs="Arial"/>
          <w:b/>
          <w:bCs/>
          <w:sz w:val="24"/>
          <w:szCs w:val="20"/>
        </w:rPr>
      </w:pPr>
      <w:r w:rsidRPr="00040118">
        <w:rPr>
          <w:rFonts w:ascii="Arial" w:eastAsia="MS Mincho" w:hAnsi="Arial" w:cs="Arial"/>
          <w:b/>
          <w:bCs/>
          <w:sz w:val="24"/>
          <w:szCs w:val="20"/>
        </w:rPr>
        <w:t>Agenda item:</w:t>
      </w:r>
      <w:r w:rsidRPr="00040118">
        <w:rPr>
          <w:rFonts w:ascii="Arial" w:eastAsia="MS Mincho" w:hAnsi="Arial" w:cs="Arial"/>
          <w:b/>
          <w:bCs/>
          <w:sz w:val="24"/>
          <w:szCs w:val="20"/>
        </w:rPr>
        <w:tab/>
      </w:r>
      <w:r w:rsidR="00D202D2">
        <w:rPr>
          <w:rFonts w:ascii="Arial" w:eastAsia="MS Mincho" w:hAnsi="Arial" w:cs="Arial"/>
          <w:b/>
          <w:bCs/>
          <w:sz w:val="24"/>
          <w:szCs w:val="20"/>
        </w:rPr>
        <w:t>4.1.6</w:t>
      </w:r>
      <w:r w:rsidR="009F5958">
        <w:rPr>
          <w:rFonts w:ascii="Arial" w:eastAsia="MS Mincho" w:hAnsi="Arial" w:cs="Arial"/>
          <w:b/>
          <w:bCs/>
          <w:sz w:val="24"/>
          <w:szCs w:val="20"/>
        </w:rPr>
        <w:t xml:space="preserve"> RRM Core requirements</w:t>
      </w:r>
    </w:p>
    <w:p w14:paraId="7951C47A" w14:textId="0CEE9EDE" w:rsidR="00841BCD" w:rsidRPr="00040118" w:rsidRDefault="00841BCD" w:rsidP="00841BCD">
      <w:pPr>
        <w:tabs>
          <w:tab w:val="left" w:pos="1985"/>
        </w:tabs>
        <w:rPr>
          <w:rFonts w:ascii="Arial" w:eastAsia="Calibri" w:hAnsi="Arial" w:cs="Arial"/>
          <w:b/>
          <w:bCs/>
          <w:sz w:val="24"/>
        </w:rPr>
      </w:pPr>
      <w:r w:rsidRPr="00040118">
        <w:rPr>
          <w:rFonts w:ascii="Arial" w:eastAsia="Calibri" w:hAnsi="Arial" w:cs="Arial"/>
          <w:b/>
          <w:bCs/>
          <w:sz w:val="24"/>
        </w:rPr>
        <w:t>Document for:</w:t>
      </w:r>
      <w:r w:rsidRPr="00040118">
        <w:rPr>
          <w:rFonts w:ascii="Arial" w:eastAsia="Calibri" w:hAnsi="Arial" w:cs="Arial"/>
          <w:b/>
          <w:bCs/>
          <w:sz w:val="24"/>
        </w:rPr>
        <w:tab/>
      </w:r>
      <w:r w:rsidR="007657EE" w:rsidRPr="00040118">
        <w:rPr>
          <w:rFonts w:ascii="Arial" w:eastAsia="Calibri" w:hAnsi="Arial" w:cs="Arial"/>
          <w:b/>
          <w:bCs/>
          <w:sz w:val="24"/>
        </w:rPr>
        <w:t>Discussion</w:t>
      </w:r>
    </w:p>
    <w:p w14:paraId="50EB855D" w14:textId="77777777" w:rsidR="00841BCD" w:rsidRPr="00040118" w:rsidRDefault="00841BCD" w:rsidP="00EF32C7">
      <w:pPr>
        <w:pStyle w:val="RAN4H1"/>
        <w:ind w:left="426" w:hanging="426"/>
        <w:rPr>
          <w:lang w:val="en-US"/>
        </w:rPr>
      </w:pPr>
      <w:r w:rsidRPr="00040118">
        <w:rPr>
          <w:lang w:val="en-US"/>
        </w:rPr>
        <w:t>Introduction</w:t>
      </w:r>
    </w:p>
    <w:p w14:paraId="6303371B" w14:textId="4FAA5ACA" w:rsidR="00FF71AD" w:rsidRPr="00040118" w:rsidRDefault="003809BD" w:rsidP="001C4933">
      <w:pPr>
        <w:spacing w:before="60" w:after="120" w:line="240" w:lineRule="auto"/>
        <w:ind w:right="-23"/>
        <w:rPr>
          <w:rFonts w:eastAsia="Calibri" w:cs="Times New Roman"/>
          <w:color w:val="000000" w:themeColor="text1"/>
          <w:szCs w:val="20"/>
        </w:rPr>
      </w:pPr>
      <w:r w:rsidRPr="00040118">
        <w:rPr>
          <w:rFonts w:eastAsia="Calibri" w:cs="Times New Roman"/>
          <w:color w:val="000000" w:themeColor="text1"/>
          <w:szCs w:val="20"/>
        </w:rPr>
        <w:t>At RAN4 #10</w:t>
      </w:r>
      <w:r w:rsidR="00FF71AD" w:rsidRPr="00040118">
        <w:rPr>
          <w:rFonts w:eastAsia="Calibri" w:cs="Times New Roman"/>
          <w:color w:val="000000" w:themeColor="text1"/>
          <w:szCs w:val="20"/>
        </w:rPr>
        <w:t>1</w:t>
      </w:r>
      <w:r w:rsidRPr="00040118">
        <w:rPr>
          <w:rFonts w:eastAsia="Calibri" w:cs="Times New Roman"/>
          <w:color w:val="000000" w:themeColor="text1"/>
          <w:szCs w:val="20"/>
        </w:rPr>
        <w:t xml:space="preserve">-e, </w:t>
      </w:r>
      <w:r w:rsidR="00DB1FED" w:rsidRPr="00040118">
        <w:rPr>
          <w:rFonts w:eastAsia="Calibri" w:cs="Times New Roman"/>
          <w:color w:val="000000" w:themeColor="text1"/>
          <w:szCs w:val="20"/>
        </w:rPr>
        <w:t xml:space="preserve">there was a discussion on which DRX </w:t>
      </w:r>
      <w:r w:rsidR="00CD3689" w:rsidRPr="00040118">
        <w:rPr>
          <w:rFonts w:eastAsia="Calibri" w:cs="Times New Roman"/>
          <w:color w:val="000000" w:themeColor="text1"/>
          <w:szCs w:val="20"/>
        </w:rPr>
        <w:t xml:space="preserve">cycle </w:t>
      </w:r>
      <w:r w:rsidR="00DB1FED" w:rsidRPr="00040118">
        <w:rPr>
          <w:rFonts w:eastAsia="Calibri" w:cs="Times New Roman"/>
          <w:color w:val="000000" w:themeColor="text1"/>
          <w:szCs w:val="20"/>
        </w:rPr>
        <w:t xml:space="preserve">shall </w:t>
      </w:r>
      <w:r w:rsidR="006B7EE8" w:rsidRPr="00040118">
        <w:rPr>
          <w:rFonts w:eastAsia="Calibri" w:cs="Times New Roman"/>
          <w:color w:val="000000" w:themeColor="text1"/>
          <w:szCs w:val="20"/>
        </w:rPr>
        <w:t xml:space="preserve">be applied for inter-frequency </w:t>
      </w:r>
      <w:r w:rsidR="00DB1FED" w:rsidRPr="00040118">
        <w:rPr>
          <w:rFonts w:eastAsia="Calibri" w:cs="Times New Roman"/>
          <w:color w:val="000000" w:themeColor="text1"/>
          <w:szCs w:val="20"/>
        </w:rPr>
        <w:t xml:space="preserve">when </w:t>
      </w:r>
      <w:r w:rsidR="00CD3689" w:rsidRPr="00040118">
        <w:rPr>
          <w:rFonts w:eastAsia="Calibri" w:cs="Times New Roman"/>
          <w:color w:val="000000" w:themeColor="text1"/>
          <w:szCs w:val="20"/>
        </w:rPr>
        <w:t xml:space="preserve">UE is </w:t>
      </w:r>
      <w:r w:rsidR="00DB1FED" w:rsidRPr="00040118">
        <w:rPr>
          <w:rFonts w:eastAsia="Calibri" w:cs="Times New Roman"/>
          <w:color w:val="000000" w:themeColor="text1"/>
          <w:szCs w:val="20"/>
        </w:rPr>
        <w:t xml:space="preserve">configured in NR-DC or NE-DC. The discussion was motivated by </w:t>
      </w:r>
      <w:r w:rsidR="00F86185" w:rsidRPr="00040118">
        <w:rPr>
          <w:rFonts w:eastAsia="Calibri" w:cs="Times New Roman"/>
          <w:color w:val="000000" w:themeColor="text1"/>
          <w:szCs w:val="20"/>
        </w:rPr>
        <w:t xml:space="preserve">a </w:t>
      </w:r>
      <w:r w:rsidR="00FF71AD" w:rsidRPr="00040118">
        <w:rPr>
          <w:rFonts w:eastAsia="Calibri" w:cs="Times New Roman"/>
          <w:color w:val="000000" w:themeColor="text1"/>
          <w:szCs w:val="20"/>
        </w:rPr>
        <w:t xml:space="preserve">CR </w:t>
      </w:r>
      <w:r w:rsidR="00835C1D" w:rsidRPr="00040118">
        <w:rPr>
          <w:rFonts w:eastAsia="Calibri" w:cs="Times New Roman"/>
          <w:color w:val="000000" w:themeColor="text1"/>
          <w:szCs w:val="20"/>
        </w:rPr>
        <w:fldChar w:fldCharType="begin"/>
      </w:r>
      <w:r w:rsidR="00835C1D" w:rsidRPr="00040118">
        <w:rPr>
          <w:rFonts w:eastAsia="Calibri" w:cs="Times New Roman"/>
          <w:color w:val="000000" w:themeColor="text1"/>
          <w:szCs w:val="20"/>
        </w:rPr>
        <w:instrText xml:space="preserve"> REF _Ref87519479 \r \h </w:instrText>
      </w:r>
      <w:r w:rsidR="00835C1D" w:rsidRPr="00040118">
        <w:rPr>
          <w:rFonts w:eastAsia="Calibri" w:cs="Times New Roman"/>
          <w:color w:val="000000" w:themeColor="text1"/>
          <w:szCs w:val="20"/>
        </w:rPr>
      </w:r>
      <w:r w:rsidR="00835C1D" w:rsidRPr="00040118">
        <w:rPr>
          <w:rFonts w:eastAsia="Calibri" w:cs="Times New Roman"/>
          <w:color w:val="000000" w:themeColor="text1"/>
          <w:szCs w:val="20"/>
        </w:rPr>
        <w:fldChar w:fldCharType="separate"/>
      </w:r>
      <w:r w:rsidR="003C2C7B" w:rsidRPr="00040118">
        <w:rPr>
          <w:rFonts w:eastAsia="Calibri" w:cs="Times New Roman"/>
          <w:color w:val="000000" w:themeColor="text1"/>
          <w:szCs w:val="20"/>
        </w:rPr>
        <w:t>[1]</w:t>
      </w:r>
      <w:r w:rsidR="00835C1D" w:rsidRPr="00040118">
        <w:rPr>
          <w:rFonts w:eastAsia="Calibri" w:cs="Times New Roman"/>
          <w:color w:val="000000" w:themeColor="text1"/>
          <w:szCs w:val="20"/>
        </w:rPr>
        <w:fldChar w:fldCharType="end"/>
      </w:r>
      <w:r w:rsidR="00F86185" w:rsidRPr="00040118">
        <w:rPr>
          <w:rFonts w:eastAsia="Calibri" w:cs="Times New Roman"/>
          <w:color w:val="000000" w:themeColor="text1"/>
          <w:szCs w:val="20"/>
        </w:rPr>
        <w:t>.</w:t>
      </w:r>
    </w:p>
    <w:p w14:paraId="12BBD870" w14:textId="731D5A2F" w:rsidR="00FF71AD" w:rsidRPr="00040118" w:rsidRDefault="003C2C7B" w:rsidP="001C4933">
      <w:pPr>
        <w:spacing w:before="60" w:after="120" w:line="240" w:lineRule="auto"/>
        <w:ind w:right="-23"/>
        <w:rPr>
          <w:rFonts w:eastAsia="Calibri" w:cs="Times New Roman"/>
          <w:color w:val="000000" w:themeColor="text1"/>
          <w:szCs w:val="20"/>
        </w:rPr>
      </w:pPr>
      <w:r w:rsidRPr="00040118">
        <w:rPr>
          <w:rFonts w:eastAsia="Calibri" w:cs="Times New Roman"/>
          <w:color w:val="000000" w:themeColor="text1"/>
          <w:szCs w:val="20"/>
        </w:rPr>
        <w:t xml:space="preserve">There was no consensus in the discussion, and in the WF </w:t>
      </w:r>
      <w:r w:rsidRPr="00040118">
        <w:rPr>
          <w:rFonts w:eastAsia="Calibri" w:cs="Times New Roman"/>
          <w:color w:val="000000" w:themeColor="text1"/>
          <w:szCs w:val="20"/>
        </w:rPr>
        <w:fldChar w:fldCharType="begin"/>
      </w:r>
      <w:r w:rsidRPr="00040118">
        <w:rPr>
          <w:rFonts w:eastAsia="Calibri" w:cs="Times New Roman"/>
          <w:color w:val="000000" w:themeColor="text1"/>
          <w:szCs w:val="20"/>
        </w:rPr>
        <w:instrText xml:space="preserve"> REF _Ref87873460 \r \h </w:instrText>
      </w:r>
      <w:r w:rsidRPr="00040118">
        <w:rPr>
          <w:rFonts w:eastAsia="Calibri" w:cs="Times New Roman"/>
          <w:color w:val="000000" w:themeColor="text1"/>
          <w:szCs w:val="20"/>
        </w:rPr>
      </w:r>
      <w:r w:rsidRPr="00040118">
        <w:rPr>
          <w:rFonts w:eastAsia="Calibri" w:cs="Times New Roman"/>
          <w:color w:val="000000" w:themeColor="text1"/>
          <w:szCs w:val="20"/>
        </w:rPr>
        <w:fldChar w:fldCharType="separate"/>
      </w:r>
      <w:r w:rsidRPr="00040118">
        <w:rPr>
          <w:rFonts w:eastAsia="Calibri" w:cs="Times New Roman"/>
          <w:color w:val="000000" w:themeColor="text1"/>
          <w:szCs w:val="20"/>
        </w:rPr>
        <w:t>[2]</w:t>
      </w:r>
      <w:r w:rsidRPr="00040118">
        <w:rPr>
          <w:rFonts w:eastAsia="Calibri" w:cs="Times New Roman"/>
          <w:color w:val="000000" w:themeColor="text1"/>
          <w:szCs w:val="20"/>
        </w:rPr>
        <w:fldChar w:fldCharType="end"/>
      </w:r>
      <w:r w:rsidRPr="00040118">
        <w:rPr>
          <w:rFonts w:eastAsia="Calibri" w:cs="Times New Roman"/>
          <w:color w:val="000000" w:themeColor="text1"/>
          <w:szCs w:val="20"/>
        </w:rPr>
        <w:t xml:space="preserve"> the issue was captured as:</w:t>
      </w:r>
    </w:p>
    <w:tbl>
      <w:tblPr>
        <w:tblStyle w:val="TableGrid"/>
        <w:tblW w:w="0" w:type="auto"/>
        <w:tblLook w:val="04A0" w:firstRow="1" w:lastRow="0" w:firstColumn="1" w:lastColumn="0" w:noHBand="0" w:noVBand="1"/>
      </w:tblPr>
      <w:tblGrid>
        <w:gridCol w:w="9617"/>
      </w:tblGrid>
      <w:tr w:rsidR="003C2C7B" w:rsidRPr="00042D27" w14:paraId="26645F52" w14:textId="77777777" w:rsidTr="003C2C7B">
        <w:tc>
          <w:tcPr>
            <w:tcW w:w="9617" w:type="dxa"/>
          </w:tcPr>
          <w:p w14:paraId="5730C3E8" w14:textId="77777777" w:rsidR="003C2C7B" w:rsidRPr="00040118" w:rsidRDefault="003C2C7B" w:rsidP="003C2C7B">
            <w:pPr>
              <w:pStyle w:val="Heading3"/>
              <w:spacing w:before="120" w:after="180"/>
              <w:outlineLvl w:val="2"/>
              <w:rPr>
                <w:rFonts w:ascii="Arial" w:eastAsia="SimSun" w:hAnsi="Arial" w:cs="Times New Roman"/>
                <w:color w:val="auto"/>
                <w:sz w:val="28"/>
                <w:szCs w:val="18"/>
                <w:lang w:eastAsia="zh-CN"/>
              </w:rPr>
            </w:pPr>
            <w:r w:rsidRPr="00040118">
              <w:rPr>
                <w:rFonts w:ascii="Arial" w:eastAsia="SimSun" w:hAnsi="Arial" w:cs="Times New Roman"/>
                <w:color w:val="auto"/>
                <w:sz w:val="28"/>
                <w:szCs w:val="18"/>
                <w:lang w:eastAsia="zh-CN"/>
              </w:rPr>
              <w:t xml:space="preserve">Issue 2: </w:t>
            </w:r>
            <w:bookmarkStart w:id="2" w:name="_Hlk94722258"/>
            <w:r w:rsidRPr="00040118">
              <w:rPr>
                <w:rFonts w:ascii="Arial" w:eastAsia="SimSun" w:hAnsi="Arial" w:cs="Times New Roman"/>
                <w:color w:val="auto"/>
                <w:sz w:val="28"/>
                <w:szCs w:val="18"/>
                <w:lang w:eastAsia="zh-CN"/>
              </w:rPr>
              <w:t>Applicable DRX cycle for inter-frequency and inter-RAT measurement in NE-DC and NR-DC</w:t>
            </w:r>
            <w:bookmarkEnd w:id="2"/>
          </w:p>
          <w:p w14:paraId="04D88D1A" w14:textId="77777777" w:rsidR="003C2C7B" w:rsidRPr="00005F93" w:rsidRDefault="003C2C7B" w:rsidP="003C2C7B">
            <w:pPr>
              <w:rPr>
                <w:rFonts w:eastAsiaTheme="minorEastAsia"/>
                <w:i/>
                <w:color w:val="0070C0"/>
                <w:lang w:eastAsia="zh-CN"/>
              </w:rPr>
            </w:pPr>
            <w:r w:rsidRPr="00005F93">
              <w:rPr>
                <w:rFonts w:eastAsiaTheme="minorEastAsia"/>
                <w:i/>
                <w:color w:val="0070C0"/>
                <w:lang w:eastAsia="zh-CN"/>
              </w:rPr>
              <w:t>Candidate options:</w:t>
            </w:r>
          </w:p>
          <w:p w14:paraId="02A9CE8E" w14:textId="77777777" w:rsidR="003C2C7B" w:rsidRPr="003E0F91" w:rsidRDefault="003C2C7B" w:rsidP="003C2C7B">
            <w:pPr>
              <w:pStyle w:val="ListParagraph"/>
              <w:numPr>
                <w:ilvl w:val="0"/>
                <w:numId w:val="17"/>
              </w:numPr>
              <w:overflowPunct w:val="0"/>
              <w:autoSpaceDE w:val="0"/>
              <w:autoSpaceDN w:val="0"/>
              <w:adjustRightInd w:val="0"/>
              <w:spacing w:after="120"/>
              <w:contextualSpacing w:val="0"/>
              <w:textAlignment w:val="baseline"/>
              <w:rPr>
                <w:szCs w:val="24"/>
                <w:lang w:eastAsia="zh-CN"/>
              </w:rPr>
            </w:pPr>
            <w:r w:rsidRPr="003E0F91">
              <w:rPr>
                <w:szCs w:val="24"/>
                <w:lang w:eastAsia="zh-CN"/>
              </w:rPr>
              <w:t>Option 1</w:t>
            </w:r>
          </w:p>
          <w:p w14:paraId="4765C23A" w14:textId="77777777" w:rsidR="003C2C7B" w:rsidRPr="00042D27" w:rsidRDefault="003C2C7B" w:rsidP="003C2C7B">
            <w:pPr>
              <w:pStyle w:val="ListParagraph"/>
              <w:numPr>
                <w:ilvl w:val="1"/>
                <w:numId w:val="17"/>
              </w:numPr>
              <w:overflowPunct w:val="0"/>
              <w:autoSpaceDE w:val="0"/>
              <w:autoSpaceDN w:val="0"/>
              <w:adjustRightInd w:val="0"/>
              <w:spacing w:after="120"/>
              <w:contextualSpacing w:val="0"/>
              <w:textAlignment w:val="baseline"/>
              <w:rPr>
                <w:szCs w:val="24"/>
                <w:lang w:eastAsia="zh-CN"/>
              </w:rPr>
            </w:pPr>
            <w:r w:rsidRPr="00452189">
              <w:rPr>
                <w:szCs w:val="24"/>
                <w:lang w:eastAsia="zh-CN"/>
              </w:rPr>
              <w:t>In NR-DC mod</w:t>
            </w:r>
            <w:r w:rsidRPr="00042D27">
              <w:rPr>
                <w:szCs w:val="24"/>
                <w:lang w:eastAsia="zh-CN"/>
              </w:rPr>
              <w:t>e and NE-DC mode, the parameters, timers and scheduling requests referred to in clause 3.6.1 are for the longer DRX cycle between master cell group and secondary cell group.</w:t>
            </w:r>
          </w:p>
          <w:p w14:paraId="25D8FE18" w14:textId="77777777" w:rsidR="003C2C7B" w:rsidRPr="00042D27" w:rsidRDefault="003C2C7B" w:rsidP="003C2C7B">
            <w:pPr>
              <w:pStyle w:val="ListParagraph"/>
              <w:numPr>
                <w:ilvl w:val="0"/>
                <w:numId w:val="17"/>
              </w:numPr>
              <w:overflowPunct w:val="0"/>
              <w:autoSpaceDE w:val="0"/>
              <w:autoSpaceDN w:val="0"/>
              <w:adjustRightInd w:val="0"/>
              <w:spacing w:after="120"/>
              <w:contextualSpacing w:val="0"/>
              <w:textAlignment w:val="baseline"/>
              <w:rPr>
                <w:szCs w:val="24"/>
                <w:lang w:eastAsia="zh-CN"/>
              </w:rPr>
            </w:pPr>
            <w:r w:rsidRPr="00042D27">
              <w:rPr>
                <w:szCs w:val="24"/>
                <w:lang w:eastAsia="zh-CN"/>
              </w:rPr>
              <w:t>Option 2</w:t>
            </w:r>
          </w:p>
          <w:p w14:paraId="1098B317" w14:textId="77777777" w:rsidR="003C2C7B" w:rsidRPr="00042D27" w:rsidRDefault="003C2C7B" w:rsidP="003C2C7B">
            <w:pPr>
              <w:pStyle w:val="ListParagraph"/>
              <w:numPr>
                <w:ilvl w:val="1"/>
                <w:numId w:val="17"/>
              </w:numPr>
              <w:overflowPunct w:val="0"/>
              <w:autoSpaceDE w:val="0"/>
              <w:autoSpaceDN w:val="0"/>
              <w:adjustRightInd w:val="0"/>
              <w:spacing w:after="120"/>
              <w:contextualSpacing w:val="0"/>
              <w:textAlignment w:val="baseline"/>
              <w:rPr>
                <w:szCs w:val="24"/>
                <w:lang w:eastAsia="zh-CN"/>
              </w:rPr>
            </w:pPr>
            <w:r w:rsidRPr="00042D27">
              <w:rPr>
                <w:szCs w:val="24"/>
                <w:lang w:eastAsia="zh-CN"/>
              </w:rPr>
              <w:t>Other principles than using longer DRX cycle between CGs (as in option 1) should be used.</w:t>
            </w:r>
          </w:p>
          <w:p w14:paraId="4D1B4110" w14:textId="77777777" w:rsidR="003C2C7B" w:rsidRPr="00042D27" w:rsidRDefault="003C2C7B" w:rsidP="003C2C7B">
            <w:pPr>
              <w:pStyle w:val="ListParagraph"/>
              <w:numPr>
                <w:ilvl w:val="0"/>
                <w:numId w:val="17"/>
              </w:numPr>
              <w:overflowPunct w:val="0"/>
              <w:autoSpaceDE w:val="0"/>
              <w:autoSpaceDN w:val="0"/>
              <w:adjustRightInd w:val="0"/>
              <w:spacing w:after="120"/>
              <w:contextualSpacing w:val="0"/>
              <w:textAlignment w:val="baseline"/>
              <w:rPr>
                <w:szCs w:val="24"/>
                <w:lang w:eastAsia="zh-CN"/>
              </w:rPr>
            </w:pPr>
            <w:r w:rsidRPr="00042D27">
              <w:rPr>
                <w:szCs w:val="24"/>
                <w:lang w:eastAsia="zh-CN"/>
              </w:rPr>
              <w:t>Option 3</w:t>
            </w:r>
          </w:p>
          <w:p w14:paraId="299BD622" w14:textId="77777777" w:rsidR="003C2C7B" w:rsidRPr="00042D27" w:rsidRDefault="003C2C7B" w:rsidP="003C2C7B">
            <w:pPr>
              <w:pStyle w:val="ListParagraph"/>
              <w:numPr>
                <w:ilvl w:val="1"/>
                <w:numId w:val="17"/>
              </w:numPr>
              <w:overflowPunct w:val="0"/>
              <w:autoSpaceDE w:val="0"/>
              <w:autoSpaceDN w:val="0"/>
              <w:adjustRightInd w:val="0"/>
              <w:spacing w:after="120"/>
              <w:contextualSpacing w:val="0"/>
              <w:textAlignment w:val="baseline"/>
              <w:rPr>
                <w:szCs w:val="24"/>
                <w:lang w:eastAsia="zh-CN"/>
              </w:rPr>
            </w:pPr>
            <w:r w:rsidRPr="00042D27">
              <w:rPr>
                <w:szCs w:val="24"/>
                <w:lang w:eastAsia="zh-CN"/>
              </w:rPr>
              <w:t>Other options clarifying the applicable DRX cycle</w:t>
            </w:r>
          </w:p>
          <w:p w14:paraId="4834A32A" w14:textId="77777777" w:rsidR="003C2C7B" w:rsidRPr="00042D27" w:rsidRDefault="003C2C7B" w:rsidP="001C4933">
            <w:pPr>
              <w:spacing w:before="60" w:after="120"/>
              <w:ind w:right="-23"/>
              <w:rPr>
                <w:rFonts w:eastAsia="Calibri" w:cs="Times New Roman"/>
                <w:color w:val="000000" w:themeColor="text1"/>
                <w:szCs w:val="20"/>
              </w:rPr>
            </w:pPr>
          </w:p>
        </w:tc>
      </w:tr>
    </w:tbl>
    <w:p w14:paraId="6A5B9EE7" w14:textId="77777777" w:rsidR="003C2C7B" w:rsidRPr="00040118" w:rsidRDefault="003C2C7B" w:rsidP="001C4933">
      <w:pPr>
        <w:spacing w:before="60" w:after="120" w:line="240" w:lineRule="auto"/>
        <w:ind w:right="-23"/>
        <w:rPr>
          <w:rFonts w:eastAsia="Calibri" w:cs="Times New Roman"/>
          <w:color w:val="000000" w:themeColor="text1"/>
          <w:szCs w:val="20"/>
        </w:rPr>
      </w:pPr>
    </w:p>
    <w:p w14:paraId="693DFF16" w14:textId="4346F0BC" w:rsidR="006A27E0" w:rsidRPr="00040118" w:rsidRDefault="006A27E0" w:rsidP="00EF32C7">
      <w:pPr>
        <w:pStyle w:val="RAN4H1"/>
        <w:ind w:left="426" w:hanging="426"/>
        <w:rPr>
          <w:lang w:val="en-US"/>
        </w:rPr>
      </w:pPr>
      <w:r w:rsidRPr="00040118">
        <w:rPr>
          <w:lang w:val="en-US"/>
        </w:rPr>
        <w:t>Discussion</w:t>
      </w:r>
    </w:p>
    <w:p w14:paraId="544C6F6C" w14:textId="571647C5" w:rsidR="00272FE4" w:rsidRPr="00040118" w:rsidRDefault="003C2C7B" w:rsidP="00272FE4">
      <w:pPr>
        <w:ind w:right="-22"/>
        <w:jc w:val="both"/>
        <w:rPr>
          <w:rFonts w:eastAsia="Calibri" w:cs="Times New Roman"/>
          <w:szCs w:val="20"/>
        </w:rPr>
      </w:pPr>
      <w:r w:rsidRPr="00040118">
        <w:rPr>
          <w:rFonts w:eastAsia="Calibri" w:cs="Times New Roman"/>
          <w:szCs w:val="20"/>
        </w:rPr>
        <w:t>In R</w:t>
      </w:r>
      <w:r w:rsidR="006B7EE8" w:rsidRPr="00040118">
        <w:rPr>
          <w:rFonts w:eastAsia="Calibri" w:cs="Times New Roman"/>
          <w:szCs w:val="20"/>
        </w:rPr>
        <w:t>AN</w:t>
      </w:r>
      <w:r w:rsidRPr="00040118">
        <w:rPr>
          <w:rFonts w:eastAsia="Calibri" w:cs="Times New Roman"/>
          <w:szCs w:val="20"/>
        </w:rPr>
        <w:t xml:space="preserve">4#101-e, it was discussed whether the DRX </w:t>
      </w:r>
      <w:r w:rsidR="006B7EE8" w:rsidRPr="00040118">
        <w:rPr>
          <w:rFonts w:eastAsia="Calibri" w:cs="Times New Roman"/>
          <w:szCs w:val="20"/>
        </w:rPr>
        <w:t xml:space="preserve">cycle to apply </w:t>
      </w:r>
      <w:r w:rsidRPr="00040118">
        <w:rPr>
          <w:rFonts w:eastAsia="Calibri" w:cs="Times New Roman"/>
          <w:szCs w:val="20"/>
        </w:rPr>
        <w:t xml:space="preserve">is unclear when </w:t>
      </w:r>
      <w:r w:rsidR="000040BA" w:rsidRPr="00040118">
        <w:rPr>
          <w:rFonts w:eastAsia="Calibri" w:cs="Times New Roman"/>
          <w:szCs w:val="20"/>
        </w:rPr>
        <w:t xml:space="preserve">UE </w:t>
      </w:r>
      <w:r w:rsidRPr="00040118">
        <w:rPr>
          <w:rFonts w:eastAsia="Calibri" w:cs="Times New Roman"/>
          <w:szCs w:val="20"/>
        </w:rPr>
        <w:t xml:space="preserve">is configured in NR-DC or NE-DC. </w:t>
      </w:r>
      <w:r w:rsidR="004459D1" w:rsidRPr="00040118">
        <w:rPr>
          <w:rFonts w:eastAsia="Calibri" w:cs="Times New Roman"/>
          <w:szCs w:val="20"/>
        </w:rPr>
        <w:t xml:space="preserve">It was discussed that it should be clarified which DRX cycle the UE shall apply </w:t>
      </w:r>
      <w:r w:rsidR="006203C3" w:rsidRPr="00040118">
        <w:rPr>
          <w:rFonts w:eastAsia="Calibri" w:cs="Times New Roman"/>
          <w:szCs w:val="20"/>
        </w:rPr>
        <w:t>when</w:t>
      </w:r>
      <w:r w:rsidR="004459D1" w:rsidRPr="00040118">
        <w:rPr>
          <w:rFonts w:eastAsia="Calibri" w:cs="Times New Roman"/>
          <w:szCs w:val="20"/>
        </w:rPr>
        <w:t xml:space="preserve"> performing measurement on an </w:t>
      </w:r>
      <w:r w:rsidR="006539E2" w:rsidRPr="00040118">
        <w:rPr>
          <w:rFonts w:eastAsia="Calibri" w:cs="Times New Roman"/>
          <w:szCs w:val="20"/>
        </w:rPr>
        <w:t>inter-frequenc</w:t>
      </w:r>
      <w:r w:rsidR="00530E14" w:rsidRPr="00040118">
        <w:rPr>
          <w:rFonts w:eastAsia="Calibri" w:cs="Times New Roman"/>
          <w:szCs w:val="20"/>
        </w:rPr>
        <w:t>y</w:t>
      </w:r>
      <w:r w:rsidR="006539E2" w:rsidRPr="00040118">
        <w:rPr>
          <w:rFonts w:eastAsia="Calibri" w:cs="Times New Roman"/>
          <w:szCs w:val="20"/>
        </w:rPr>
        <w:t xml:space="preserve"> and/or inter-RAT </w:t>
      </w:r>
      <w:r w:rsidR="004459D1" w:rsidRPr="00040118">
        <w:rPr>
          <w:rFonts w:eastAsia="Calibri" w:cs="Times New Roman"/>
          <w:szCs w:val="20"/>
        </w:rPr>
        <w:t xml:space="preserve">Object configured by one CG </w:t>
      </w:r>
      <w:r w:rsidR="00025ECE" w:rsidRPr="00040118">
        <w:rPr>
          <w:rFonts w:eastAsia="Calibri" w:cs="Times New Roman"/>
          <w:szCs w:val="20"/>
        </w:rPr>
        <w:t xml:space="preserve">(e.g. MCG) </w:t>
      </w:r>
      <w:r w:rsidR="00A92664" w:rsidRPr="00040118">
        <w:rPr>
          <w:rFonts w:eastAsia="Calibri" w:cs="Times New Roman"/>
          <w:szCs w:val="20"/>
        </w:rPr>
        <w:t>if</w:t>
      </w:r>
      <w:r w:rsidR="00025ECE" w:rsidRPr="00040118">
        <w:rPr>
          <w:rFonts w:eastAsia="Calibri" w:cs="Times New Roman"/>
          <w:szCs w:val="20"/>
        </w:rPr>
        <w:t xml:space="preserve"> the Object </w:t>
      </w:r>
      <w:r w:rsidR="00A92664" w:rsidRPr="00040118">
        <w:rPr>
          <w:rFonts w:eastAsia="Calibri" w:cs="Times New Roman"/>
          <w:szCs w:val="20"/>
        </w:rPr>
        <w:t>was also configured by the other CG (e.g. SCG).</w:t>
      </w:r>
    </w:p>
    <w:p w14:paraId="6E91466B" w14:textId="3DA5B7AB" w:rsidR="00B7098C" w:rsidRPr="00005F93" w:rsidRDefault="00835C1D" w:rsidP="00EF32C7">
      <w:pPr>
        <w:pStyle w:val="RAN4H2"/>
        <w:numPr>
          <w:ilvl w:val="1"/>
          <w:numId w:val="13"/>
        </w:numPr>
        <w:ind w:left="709" w:hanging="709"/>
      </w:pPr>
      <w:r w:rsidRPr="00005F93">
        <w:rPr>
          <w:rFonts w:eastAsia="Calibri"/>
        </w:rPr>
        <w:t>DRX configuration</w:t>
      </w:r>
    </w:p>
    <w:p w14:paraId="27C45C30" w14:textId="201E974D" w:rsidR="006C4E75" w:rsidRPr="00040118" w:rsidRDefault="006C4E75" w:rsidP="006C4E75">
      <w:pPr>
        <w:rPr>
          <w:bCs/>
          <w:iCs/>
        </w:rPr>
      </w:pPr>
      <w:r w:rsidRPr="00040118">
        <w:rPr>
          <w:bCs/>
          <w:iCs/>
        </w:rPr>
        <w:t>The UE DRX is configured by network, per cell group</w:t>
      </w:r>
      <w:r w:rsidR="006B7EE8" w:rsidRPr="00040118">
        <w:rPr>
          <w:bCs/>
          <w:iCs/>
        </w:rPr>
        <w:t xml:space="preserve"> (MCG and SCG)</w:t>
      </w:r>
      <w:r w:rsidRPr="00040118">
        <w:rPr>
          <w:bCs/>
          <w:iCs/>
        </w:rPr>
        <w:t>, as detailed below:</w:t>
      </w:r>
    </w:p>
    <w:p w14:paraId="14B2DA13" w14:textId="672C59E5" w:rsidR="006C4E75" w:rsidRPr="00040118" w:rsidRDefault="00835C1D" w:rsidP="006C4E75">
      <w:pPr>
        <w:rPr>
          <w:bCs/>
          <w:iCs/>
        </w:rPr>
      </w:pPr>
      <w:r w:rsidRPr="00040118">
        <w:rPr>
          <w:bCs/>
          <w:iCs/>
        </w:rPr>
        <w:t>According to TS 38.331</w:t>
      </w:r>
      <w:r w:rsidR="006C4E75" w:rsidRPr="00040118">
        <w:rPr>
          <w:bCs/>
          <w:iCs/>
        </w:rPr>
        <w:t xml:space="preserve"> (Clause 5.3.5.5.1), </w:t>
      </w:r>
    </w:p>
    <w:tbl>
      <w:tblPr>
        <w:tblStyle w:val="TableGrid"/>
        <w:tblW w:w="0" w:type="auto"/>
        <w:tblLook w:val="04A0" w:firstRow="1" w:lastRow="0" w:firstColumn="1" w:lastColumn="0" w:noHBand="0" w:noVBand="1"/>
      </w:tblPr>
      <w:tblGrid>
        <w:gridCol w:w="9617"/>
      </w:tblGrid>
      <w:tr w:rsidR="005615F8" w:rsidRPr="00042D27" w14:paraId="2395A1C5" w14:textId="77777777" w:rsidTr="005615F8">
        <w:tc>
          <w:tcPr>
            <w:tcW w:w="9617" w:type="dxa"/>
          </w:tcPr>
          <w:p w14:paraId="35C00BE8" w14:textId="16737E0C" w:rsidR="005615F8" w:rsidRPr="003E0F91" w:rsidRDefault="005615F8" w:rsidP="005615F8">
            <w:pPr>
              <w:ind w:left="720"/>
              <w:rPr>
                <w:rFonts w:eastAsia="MS Mincho"/>
                <w:i/>
                <w:iCs/>
              </w:rPr>
            </w:pPr>
            <w:r w:rsidRPr="00005F93">
              <w:rPr>
                <w:i/>
                <w:iCs/>
              </w:rPr>
              <w:t>The network configures the UE with Master Cell Group (MCG), and zero or one Secondary Cell Group (SCG). In (NG)EN-DC, the MCG is configured as specified in TS 36.331 [10], and for NE-DC, the SCG is configured as specified in TS 36.331 [10]. The network provides the configuration parameters f</w:t>
            </w:r>
            <w:r w:rsidRPr="003E0F91">
              <w:rPr>
                <w:i/>
                <w:iCs/>
              </w:rPr>
              <w:t>or a cell group in the CellGroupConfig IE.</w:t>
            </w:r>
          </w:p>
        </w:tc>
      </w:tr>
    </w:tbl>
    <w:p w14:paraId="2B81A07A" w14:textId="77777777" w:rsidR="005615F8" w:rsidRPr="00040118" w:rsidRDefault="005615F8" w:rsidP="006C4E75">
      <w:pPr>
        <w:rPr>
          <w:bCs/>
          <w:iCs/>
        </w:rPr>
      </w:pPr>
    </w:p>
    <w:p w14:paraId="0CC87A2E" w14:textId="67B74502" w:rsidR="006C4E75" w:rsidRPr="00005F93" w:rsidRDefault="006C4E75" w:rsidP="00B802D7">
      <w:pPr>
        <w:jc w:val="both"/>
        <w:rPr>
          <w:bCs/>
          <w:iCs/>
        </w:rPr>
      </w:pPr>
      <w:r w:rsidRPr="00005F93">
        <w:rPr>
          <w:bCs/>
          <w:iCs/>
        </w:rPr>
        <w:t>The CellGroupConfig IE contains the mac-CellGroupConfig, which is detailed in clause 6.3.2:</w:t>
      </w:r>
    </w:p>
    <w:tbl>
      <w:tblPr>
        <w:tblStyle w:val="TableGrid"/>
        <w:tblW w:w="0" w:type="auto"/>
        <w:tblLook w:val="04A0" w:firstRow="1" w:lastRow="0" w:firstColumn="1" w:lastColumn="0" w:noHBand="0" w:noVBand="1"/>
      </w:tblPr>
      <w:tblGrid>
        <w:gridCol w:w="9617"/>
      </w:tblGrid>
      <w:tr w:rsidR="005615F8" w:rsidRPr="00042D27" w14:paraId="78CB956F" w14:textId="77777777" w:rsidTr="005615F8">
        <w:tc>
          <w:tcPr>
            <w:tcW w:w="9617" w:type="dxa"/>
          </w:tcPr>
          <w:p w14:paraId="65E8757F" w14:textId="77777777" w:rsidR="005615F8" w:rsidRPr="00042D27" w:rsidRDefault="005615F8" w:rsidP="005615F8">
            <w:pPr>
              <w:ind w:left="720"/>
              <w:jc w:val="both"/>
              <w:rPr>
                <w:bCs/>
                <w:i/>
                <w:iCs/>
              </w:rPr>
            </w:pPr>
            <w:r w:rsidRPr="003E0F91">
              <w:rPr>
                <w:rFonts w:eastAsia="SimSun"/>
                <w:i/>
                <w:iCs/>
                <w:lang w:eastAsia="zh-CN"/>
              </w:rPr>
              <w:t xml:space="preserve">The IE </w:t>
            </w:r>
            <w:r w:rsidRPr="003E0F91">
              <w:rPr>
                <w:i/>
                <w:iCs/>
              </w:rPr>
              <w:t>MAC-CellGroupConfig</w:t>
            </w:r>
            <w:r w:rsidRPr="00452189">
              <w:rPr>
                <w:rFonts w:eastAsia="SimSun"/>
                <w:i/>
                <w:iCs/>
                <w:lang w:eastAsia="zh-CN"/>
              </w:rPr>
              <w:t xml:space="preserve"> is used to configure MAC parameters for a cell group, including DRX.</w:t>
            </w:r>
          </w:p>
          <w:p w14:paraId="6759BD99" w14:textId="77777777" w:rsidR="005615F8" w:rsidRPr="00042D27" w:rsidRDefault="005615F8" w:rsidP="00B802D7">
            <w:pPr>
              <w:jc w:val="both"/>
              <w:rPr>
                <w:bCs/>
                <w:iCs/>
              </w:rPr>
            </w:pPr>
          </w:p>
        </w:tc>
      </w:tr>
    </w:tbl>
    <w:p w14:paraId="7CDF55D5" w14:textId="77777777" w:rsidR="005615F8" w:rsidRPr="00042D27" w:rsidRDefault="005615F8" w:rsidP="00B802D7">
      <w:pPr>
        <w:jc w:val="both"/>
        <w:rPr>
          <w:bCs/>
          <w:iCs/>
        </w:rPr>
      </w:pPr>
    </w:p>
    <w:p w14:paraId="77A0CC70" w14:textId="528C2B89" w:rsidR="006C4E75" w:rsidRPr="00040118" w:rsidRDefault="006C4E75" w:rsidP="006C4E75">
      <w:pPr>
        <w:pStyle w:val="RAN4observation0"/>
        <w:rPr>
          <w:lang w:val="en-US"/>
        </w:rPr>
      </w:pPr>
      <w:r w:rsidRPr="00040118">
        <w:rPr>
          <w:lang w:val="en-US"/>
        </w:rPr>
        <w:t xml:space="preserve">The UE DRX </w:t>
      </w:r>
      <w:r w:rsidR="006B7EE8" w:rsidRPr="00040118">
        <w:rPr>
          <w:lang w:val="en-US"/>
        </w:rPr>
        <w:t xml:space="preserve">configuration </w:t>
      </w:r>
      <w:r w:rsidRPr="00040118">
        <w:rPr>
          <w:lang w:val="en-US"/>
        </w:rPr>
        <w:t>is configured by</w:t>
      </w:r>
      <w:r w:rsidR="00CC1B40" w:rsidRPr="00040118">
        <w:rPr>
          <w:lang w:val="en-US"/>
        </w:rPr>
        <w:t xml:space="preserve"> the</w:t>
      </w:r>
      <w:r w:rsidRPr="00040118">
        <w:rPr>
          <w:lang w:val="en-US"/>
        </w:rPr>
        <w:t xml:space="preserve"> network, per cell group. </w:t>
      </w:r>
    </w:p>
    <w:p w14:paraId="46A1206D" w14:textId="4D070BC7" w:rsidR="006C4E75" w:rsidRPr="00042D27" w:rsidRDefault="006C4E75" w:rsidP="006C4E75">
      <w:pPr>
        <w:pStyle w:val="RAN4H2"/>
        <w:numPr>
          <w:ilvl w:val="1"/>
          <w:numId w:val="13"/>
        </w:numPr>
        <w:ind w:left="709" w:hanging="709"/>
      </w:pPr>
      <w:r w:rsidRPr="00005F93">
        <w:rPr>
          <w:rFonts w:eastAsia="Calibri"/>
        </w:rPr>
        <w:t>Measurement configuration</w:t>
      </w:r>
      <w:r w:rsidR="00CC1B40" w:rsidRPr="00005F93">
        <w:rPr>
          <w:rFonts w:eastAsia="Calibri"/>
        </w:rPr>
        <w:t xml:space="preserve"> in </w:t>
      </w:r>
      <w:r w:rsidR="00671410" w:rsidRPr="00042D27">
        <w:rPr>
          <w:rFonts w:eastAsia="Calibri"/>
        </w:rPr>
        <w:t>dual connectivity</w:t>
      </w:r>
    </w:p>
    <w:p w14:paraId="0BD9743B" w14:textId="225BA4FD" w:rsidR="00CC1B40" w:rsidRPr="00040118" w:rsidRDefault="00A164FB" w:rsidP="00B802D7">
      <w:pPr>
        <w:jc w:val="both"/>
        <w:rPr>
          <w:bCs/>
          <w:iCs/>
        </w:rPr>
      </w:pPr>
      <w:r w:rsidRPr="00040118">
        <w:rPr>
          <w:bCs/>
          <w:iCs/>
        </w:rPr>
        <w:t>In dual-connectivity, measurements</w:t>
      </w:r>
      <w:r w:rsidR="006C4E75" w:rsidRPr="00040118">
        <w:rPr>
          <w:bCs/>
          <w:iCs/>
        </w:rPr>
        <w:t xml:space="preserve"> </w:t>
      </w:r>
      <w:r w:rsidR="00CC1B40" w:rsidRPr="00040118">
        <w:rPr>
          <w:bCs/>
          <w:iCs/>
        </w:rPr>
        <w:t xml:space="preserve">can be </w:t>
      </w:r>
      <w:r w:rsidR="006C4E75" w:rsidRPr="00040118">
        <w:rPr>
          <w:bCs/>
          <w:iCs/>
        </w:rPr>
        <w:t>configure</w:t>
      </w:r>
      <w:r w:rsidR="005615F8" w:rsidRPr="00040118">
        <w:rPr>
          <w:bCs/>
          <w:iCs/>
        </w:rPr>
        <w:t>d by network per cell group, as detailed below</w:t>
      </w:r>
      <w:r w:rsidR="001023C8" w:rsidRPr="00040118">
        <w:rPr>
          <w:bCs/>
          <w:iCs/>
        </w:rPr>
        <w:t xml:space="preserve"> for NR-DC.</w:t>
      </w:r>
    </w:p>
    <w:p w14:paraId="7709FD2D" w14:textId="5B8CC869" w:rsidR="005615F8" w:rsidRPr="00040118" w:rsidRDefault="005615F8" w:rsidP="00B802D7">
      <w:pPr>
        <w:jc w:val="both"/>
        <w:rPr>
          <w:bCs/>
          <w:iCs/>
        </w:rPr>
      </w:pPr>
      <w:r w:rsidRPr="00040118">
        <w:rPr>
          <w:bCs/>
          <w:iCs/>
        </w:rPr>
        <w:t>According to TS 38.331 (Clause 5.5.</w:t>
      </w:r>
      <w:r w:rsidR="00CC1B40" w:rsidRPr="00040118">
        <w:rPr>
          <w:bCs/>
          <w:iCs/>
        </w:rPr>
        <w:t>1</w:t>
      </w:r>
      <w:r w:rsidRPr="00040118">
        <w:rPr>
          <w:bCs/>
          <w:iCs/>
        </w:rPr>
        <w:t>)</w:t>
      </w:r>
    </w:p>
    <w:tbl>
      <w:tblPr>
        <w:tblStyle w:val="TableGrid"/>
        <w:tblW w:w="0" w:type="auto"/>
        <w:tblLook w:val="04A0" w:firstRow="1" w:lastRow="0" w:firstColumn="1" w:lastColumn="0" w:noHBand="0" w:noVBand="1"/>
      </w:tblPr>
      <w:tblGrid>
        <w:gridCol w:w="9617"/>
      </w:tblGrid>
      <w:tr w:rsidR="005615F8" w:rsidRPr="00042D27" w14:paraId="0981A352" w14:textId="20684835" w:rsidTr="005615F8">
        <w:tc>
          <w:tcPr>
            <w:tcW w:w="9617" w:type="dxa"/>
          </w:tcPr>
          <w:p w14:paraId="3F6DE25A" w14:textId="77777777" w:rsidR="00CC1B40" w:rsidRPr="003E0F91" w:rsidRDefault="00CC1B40" w:rsidP="00CC1B40">
            <w:bookmarkStart w:id="3" w:name="_Toc20425791"/>
            <w:bookmarkStart w:id="4" w:name="_Toc29321187"/>
            <w:r w:rsidRPr="00005F93">
              <w:t xml:space="preserve">In NR-DC, the UE may receive two independent </w:t>
            </w:r>
            <w:r w:rsidRPr="00005F93">
              <w:rPr>
                <w:i/>
              </w:rPr>
              <w:t>measConfig</w:t>
            </w:r>
            <w:r w:rsidRPr="00005F93">
              <w:t>:</w:t>
            </w:r>
          </w:p>
          <w:p w14:paraId="75915B2D" w14:textId="77777777" w:rsidR="00CC1B40" w:rsidRPr="00040118" w:rsidRDefault="00CC1B40" w:rsidP="00CC1B40">
            <w:pPr>
              <w:pStyle w:val="B1"/>
              <w:rPr>
                <w:rFonts w:eastAsia="MS Mincho"/>
                <w:lang w:val="en-US"/>
              </w:rPr>
            </w:pPr>
            <w:r w:rsidRPr="00040118">
              <w:rPr>
                <w:rFonts w:eastAsia="MS Mincho"/>
                <w:lang w:val="en-US"/>
              </w:rPr>
              <w:t>-</w:t>
            </w:r>
            <w:r w:rsidRPr="00040118">
              <w:rPr>
                <w:rFonts w:eastAsia="MS Mincho"/>
                <w:lang w:val="en-US"/>
              </w:rPr>
              <w:tab/>
              <w:t xml:space="preserve">a </w:t>
            </w:r>
            <w:r w:rsidRPr="00040118">
              <w:rPr>
                <w:rFonts w:eastAsia="MS Mincho"/>
                <w:i/>
                <w:lang w:val="en-US"/>
              </w:rPr>
              <w:t>measConfig</w:t>
            </w:r>
            <w:r w:rsidRPr="00040118">
              <w:rPr>
                <w:rFonts w:eastAsia="MS Mincho"/>
                <w:lang w:val="en-US"/>
              </w:rPr>
              <w:t xml:space="preserve">, associated with MCG, that is included in the </w:t>
            </w:r>
            <w:r w:rsidRPr="00040118">
              <w:rPr>
                <w:rFonts w:eastAsia="MS Mincho"/>
                <w:i/>
                <w:lang w:val="en-US"/>
              </w:rPr>
              <w:t>RRCReconfiguration</w:t>
            </w:r>
            <w:r w:rsidRPr="00040118">
              <w:rPr>
                <w:rFonts w:eastAsia="MS Mincho"/>
                <w:lang w:val="en-US"/>
              </w:rPr>
              <w:t xml:space="preserve"> message received via SRB1; and</w:t>
            </w:r>
          </w:p>
          <w:p w14:paraId="6463CE4C" w14:textId="77777777" w:rsidR="00CC1B40" w:rsidRPr="00040118" w:rsidRDefault="00CC1B40" w:rsidP="00CC1B40">
            <w:pPr>
              <w:pStyle w:val="B1"/>
              <w:rPr>
                <w:rFonts w:eastAsia="MS Mincho"/>
                <w:lang w:val="en-US"/>
              </w:rPr>
            </w:pPr>
            <w:r w:rsidRPr="00040118">
              <w:rPr>
                <w:rFonts w:eastAsia="MS Mincho"/>
                <w:lang w:val="en-US"/>
              </w:rPr>
              <w:t>-</w:t>
            </w:r>
            <w:r w:rsidRPr="00040118">
              <w:rPr>
                <w:rFonts w:eastAsia="MS Mincho"/>
                <w:lang w:val="en-US"/>
              </w:rPr>
              <w:tab/>
              <w:t xml:space="preserve">a </w:t>
            </w:r>
            <w:r w:rsidRPr="00040118">
              <w:rPr>
                <w:rFonts w:eastAsia="MS Mincho"/>
                <w:i/>
                <w:lang w:val="en-US"/>
              </w:rPr>
              <w:t>measConfig</w:t>
            </w:r>
            <w:r w:rsidRPr="00040118">
              <w:rPr>
                <w:rFonts w:eastAsia="MS Mincho"/>
                <w:lang w:val="en-US"/>
              </w:rPr>
              <w:t xml:space="preserve">, associated with SCG, that is included in the </w:t>
            </w:r>
            <w:r w:rsidRPr="00040118">
              <w:rPr>
                <w:rFonts w:eastAsia="MS Mincho"/>
                <w:i/>
                <w:lang w:val="en-US"/>
              </w:rPr>
              <w:t>RRCReconfiguration</w:t>
            </w:r>
            <w:r w:rsidRPr="00040118">
              <w:rPr>
                <w:rFonts w:eastAsia="MS Mincho"/>
                <w:lang w:val="en-US"/>
              </w:rPr>
              <w:t xml:space="preserve"> message received via SRB3, or, alternatively, included within a </w:t>
            </w:r>
            <w:r w:rsidRPr="00040118">
              <w:rPr>
                <w:rFonts w:eastAsia="MS Mincho"/>
                <w:i/>
                <w:lang w:val="en-US"/>
              </w:rPr>
              <w:t>RRCReconfiguration</w:t>
            </w:r>
            <w:r w:rsidRPr="00040118">
              <w:rPr>
                <w:rFonts w:eastAsia="MS Mincho"/>
                <w:lang w:val="en-US"/>
              </w:rPr>
              <w:t xml:space="preserve"> message embedded in a </w:t>
            </w:r>
            <w:r w:rsidRPr="00040118">
              <w:rPr>
                <w:rFonts w:eastAsia="MS Mincho"/>
                <w:i/>
                <w:lang w:val="en-US"/>
              </w:rPr>
              <w:t>RRCReconfiguration</w:t>
            </w:r>
            <w:r w:rsidRPr="00040118">
              <w:rPr>
                <w:rFonts w:eastAsia="MS Mincho"/>
                <w:lang w:val="en-US"/>
              </w:rPr>
              <w:t xml:space="preserve"> message received via SRB1.</w:t>
            </w:r>
          </w:p>
          <w:p w14:paraId="63EE2AAD" w14:textId="77777777" w:rsidR="00CC1B40" w:rsidRPr="00042D27" w:rsidRDefault="00CC1B40" w:rsidP="00CC1B40">
            <w:pPr>
              <w:rPr>
                <w:rFonts w:eastAsia="SimSun"/>
              </w:rPr>
            </w:pPr>
            <w:r w:rsidRPr="00005F93">
              <w:t xml:space="preserve">In this case, the UE maintains </w:t>
            </w:r>
            <w:r w:rsidRPr="00005F93">
              <w:rPr>
                <w:rFonts w:eastAsia="SimSun"/>
              </w:rPr>
              <w:t xml:space="preserve">two independent </w:t>
            </w:r>
            <w:r w:rsidRPr="00005F93">
              <w:rPr>
                <w:i/>
              </w:rPr>
              <w:t xml:space="preserve">VarMeasConfig </w:t>
            </w:r>
            <w:r w:rsidRPr="003E0F91">
              <w:t xml:space="preserve">and </w:t>
            </w:r>
            <w:r w:rsidRPr="003E0F91">
              <w:rPr>
                <w:rFonts w:eastAsia="SimSun"/>
                <w:i/>
              </w:rPr>
              <w:t>VarMeasReportList</w:t>
            </w:r>
            <w:r w:rsidRPr="00452189">
              <w:rPr>
                <w:rFonts w:eastAsia="SimSun"/>
              </w:rPr>
              <w:t xml:space="preserve">, one associated with each </w:t>
            </w:r>
            <w:r w:rsidRPr="00042D27">
              <w:rPr>
                <w:rFonts w:eastAsia="SimSun"/>
                <w:i/>
              </w:rPr>
              <w:t>measConfig</w:t>
            </w:r>
            <w:r w:rsidRPr="00042D27">
              <w:rPr>
                <w:rFonts w:eastAsia="SimSun"/>
              </w:rPr>
              <w:t xml:space="preserve">, and independently performs all the procedures in clause 5.5 for each </w:t>
            </w:r>
            <w:r w:rsidRPr="00042D27">
              <w:rPr>
                <w:rFonts w:eastAsia="SimSun"/>
                <w:i/>
              </w:rPr>
              <w:t>measConfig</w:t>
            </w:r>
            <w:r w:rsidRPr="00042D27">
              <w:rPr>
                <w:rFonts w:eastAsia="SimSun"/>
              </w:rPr>
              <w:t xml:space="preserve"> and the associated </w:t>
            </w:r>
            <w:r w:rsidRPr="00042D27">
              <w:rPr>
                <w:i/>
              </w:rPr>
              <w:t xml:space="preserve">VarMeasConfig </w:t>
            </w:r>
            <w:r w:rsidRPr="00042D27">
              <w:t xml:space="preserve">and </w:t>
            </w:r>
            <w:r w:rsidRPr="00042D27">
              <w:rPr>
                <w:rFonts w:eastAsia="SimSun"/>
                <w:i/>
              </w:rPr>
              <w:t>VarMeasReportList</w:t>
            </w:r>
            <w:r w:rsidRPr="00042D27">
              <w:rPr>
                <w:rFonts w:eastAsia="SimSun"/>
              </w:rPr>
              <w:t>, unless explicitly stated otherwise.</w:t>
            </w:r>
          </w:p>
          <w:bookmarkEnd w:id="3"/>
          <w:bookmarkEnd w:id="4"/>
          <w:p w14:paraId="25C4C9E2" w14:textId="18BC2DBA" w:rsidR="005615F8" w:rsidRPr="00040118" w:rsidRDefault="005615F8" w:rsidP="005615F8">
            <w:pPr>
              <w:overflowPunct w:val="0"/>
              <w:autoSpaceDE w:val="0"/>
              <w:autoSpaceDN w:val="0"/>
              <w:adjustRightInd w:val="0"/>
              <w:spacing w:after="180"/>
              <w:ind w:left="568" w:hanging="284"/>
              <w:textAlignment w:val="baseline"/>
              <w:rPr>
                <w:bCs/>
                <w:iCs/>
              </w:rPr>
            </w:pPr>
          </w:p>
        </w:tc>
      </w:tr>
    </w:tbl>
    <w:p w14:paraId="406BB43C" w14:textId="2A9881A1" w:rsidR="005615F8" w:rsidRPr="00040118" w:rsidRDefault="006C4E75" w:rsidP="005615F8">
      <w:pPr>
        <w:pStyle w:val="Heading4"/>
        <w:rPr>
          <w:rFonts w:eastAsia="Times New Roman" w:cs="Times New Roman"/>
          <w:szCs w:val="20"/>
          <w:lang w:eastAsia="x-none"/>
        </w:rPr>
      </w:pPr>
      <w:r w:rsidRPr="00040118">
        <w:rPr>
          <w:bCs/>
          <w:iCs w:val="0"/>
        </w:rPr>
        <w:t xml:space="preserve"> </w:t>
      </w:r>
    </w:p>
    <w:p w14:paraId="1F90314B" w14:textId="0BF996CC" w:rsidR="005615F8" w:rsidRPr="00341781" w:rsidRDefault="00847D8A" w:rsidP="005615F8">
      <w:pPr>
        <w:pStyle w:val="RAN4observation0"/>
        <w:rPr>
          <w:lang w:val="en-US"/>
        </w:rPr>
      </w:pPr>
      <w:r w:rsidRPr="00341781">
        <w:rPr>
          <w:lang w:val="en-US"/>
        </w:rPr>
        <w:t xml:space="preserve">In NR-DC, the UE may receive two independent </w:t>
      </w:r>
      <w:r w:rsidRPr="00341781">
        <w:rPr>
          <w:i/>
          <w:iCs/>
          <w:lang w:val="en-US"/>
        </w:rPr>
        <w:t>measConfig</w:t>
      </w:r>
      <w:r w:rsidRPr="00341781">
        <w:rPr>
          <w:lang w:val="en-US"/>
        </w:rPr>
        <w:t>. One associated with MCG and one associated with SCG</w:t>
      </w:r>
      <w:r w:rsidR="005615F8" w:rsidRPr="00341781">
        <w:rPr>
          <w:lang w:val="en-US"/>
        </w:rPr>
        <w:t xml:space="preserve">. </w:t>
      </w:r>
      <w:r w:rsidRPr="00341781">
        <w:rPr>
          <w:lang w:val="en-US"/>
        </w:rPr>
        <w:t xml:space="preserve">It is clear from TS 38.331 that the UE independently performs all the measurement procedures for each </w:t>
      </w:r>
      <w:r w:rsidRPr="00341781">
        <w:rPr>
          <w:i/>
          <w:iCs/>
          <w:lang w:val="en-US"/>
        </w:rPr>
        <w:t>measConfig</w:t>
      </w:r>
      <w:r w:rsidRPr="00341781">
        <w:rPr>
          <w:lang w:val="en-US"/>
        </w:rPr>
        <w:t xml:space="preserve"> unless explicitly stated otherwise.</w:t>
      </w:r>
    </w:p>
    <w:p w14:paraId="79AB4D04" w14:textId="14C0B734" w:rsidR="00E95620" w:rsidRPr="00341781" w:rsidRDefault="00E95620" w:rsidP="00005F93">
      <w:pPr>
        <w:pStyle w:val="RAN4observation0"/>
      </w:pPr>
      <w:r w:rsidRPr="00F45A5B">
        <w:t xml:space="preserve">The UE shall fulfil the requirements </w:t>
      </w:r>
      <w:r w:rsidR="00972E8A" w:rsidRPr="00F45A5B">
        <w:t>according to</w:t>
      </w:r>
      <w:r w:rsidRPr="00F45A5B">
        <w:t xml:space="preserve"> the CG that configured the measurement.</w:t>
      </w:r>
    </w:p>
    <w:p w14:paraId="4E49CF23" w14:textId="3CFB8F6F" w:rsidR="005615F8" w:rsidRPr="003E0F91" w:rsidRDefault="00A164FB" w:rsidP="005615F8">
      <w:pPr>
        <w:pStyle w:val="RAN4H2"/>
        <w:numPr>
          <w:ilvl w:val="1"/>
          <w:numId w:val="13"/>
        </w:numPr>
        <w:ind w:left="709" w:hanging="709"/>
        <w:rPr>
          <w:rFonts w:eastAsia="Calibri"/>
        </w:rPr>
      </w:pPr>
      <w:r w:rsidRPr="00341781">
        <w:rPr>
          <w:rFonts w:eastAsia="Calibri"/>
        </w:rPr>
        <w:t>Applicable</w:t>
      </w:r>
      <w:r w:rsidRPr="00005F93">
        <w:rPr>
          <w:rFonts w:eastAsia="Calibri"/>
        </w:rPr>
        <w:t xml:space="preserve"> DRX cycle for inter-frequency and inter-RAT measurements in NE-DC and NR-DC</w:t>
      </w:r>
    </w:p>
    <w:p w14:paraId="47B7D5BA" w14:textId="1FC9C502" w:rsidR="005615F8" w:rsidRPr="00042D27" w:rsidRDefault="005615F8" w:rsidP="005615F8">
      <w:r w:rsidRPr="003E0F91">
        <w:t xml:space="preserve">In </w:t>
      </w:r>
      <w:r w:rsidR="003C2C7B" w:rsidRPr="00005F93">
        <w:fldChar w:fldCharType="begin"/>
      </w:r>
      <w:r w:rsidR="003C2C7B" w:rsidRPr="00042D27">
        <w:instrText xml:space="preserve"> REF _Ref87519479 \r \h </w:instrText>
      </w:r>
      <w:r w:rsidR="003C2C7B" w:rsidRPr="00005F93">
        <w:fldChar w:fldCharType="separate"/>
      </w:r>
      <w:r w:rsidR="003C2C7B" w:rsidRPr="00005F93">
        <w:t>[1]</w:t>
      </w:r>
      <w:r w:rsidR="003C2C7B" w:rsidRPr="00005F93">
        <w:fldChar w:fldCharType="end"/>
      </w:r>
      <w:r w:rsidRPr="00005F93">
        <w:t xml:space="preserve"> it was mentioned that </w:t>
      </w:r>
      <w:r w:rsidR="00D3544F" w:rsidRPr="00005F93">
        <w:t xml:space="preserve">it is unclear </w:t>
      </w:r>
      <w:r w:rsidR="00D3544F" w:rsidRPr="00042D27">
        <w:t xml:space="preserve">which DRX configuration </w:t>
      </w:r>
      <w:r w:rsidR="00F5413C" w:rsidRPr="00042D27">
        <w:t xml:space="preserve">the UE </w:t>
      </w:r>
      <w:r w:rsidR="00D3544F" w:rsidRPr="00042D27">
        <w:t>should apply when in dual-</w:t>
      </w:r>
      <w:r w:rsidR="0055022F" w:rsidRPr="00042D27">
        <w:t>connectivity</w:t>
      </w:r>
      <w:r w:rsidR="00D3544F" w:rsidRPr="00042D27">
        <w:t xml:space="preserve"> mode, such as </w:t>
      </w:r>
      <w:r w:rsidR="00332485" w:rsidRPr="00042D27">
        <w:t>NE</w:t>
      </w:r>
      <w:r w:rsidR="00D3544F" w:rsidRPr="00042D27">
        <w:t xml:space="preserve">-DC or NR-DC. </w:t>
      </w:r>
      <w:r w:rsidR="00332485" w:rsidRPr="00042D27">
        <w:t>Therefore, it was</w:t>
      </w:r>
      <w:r w:rsidR="00D3544F" w:rsidRPr="00042D27">
        <w:t xml:space="preserve"> proposed to clarify which </w:t>
      </w:r>
      <w:r w:rsidR="00A04EE6" w:rsidRPr="00042D27">
        <w:t xml:space="preserve">DRX cycle </w:t>
      </w:r>
      <w:r w:rsidR="00D3544F" w:rsidRPr="00042D27">
        <w:t xml:space="preserve">is applied </w:t>
      </w:r>
      <w:r w:rsidR="00A04EE6" w:rsidRPr="00042D27">
        <w:t xml:space="preserve">while in </w:t>
      </w:r>
      <w:r w:rsidR="00D3544F" w:rsidRPr="00042D27">
        <w:t>dual connectivity</w:t>
      </w:r>
      <w:r w:rsidR="00A10D80" w:rsidRPr="00042D27">
        <w:t xml:space="preserve">. </w:t>
      </w:r>
      <w:r w:rsidR="002E2FDF" w:rsidRPr="00042D27">
        <w:t>The pr</w:t>
      </w:r>
      <w:r w:rsidR="00A10D80" w:rsidRPr="00042D27">
        <w:t>oposal</w:t>
      </w:r>
      <w:r w:rsidR="00D3544F" w:rsidRPr="00042D27">
        <w:t xml:space="preserve"> </w:t>
      </w:r>
      <w:r w:rsidR="00A10D80" w:rsidRPr="00042D27">
        <w:t>wa</w:t>
      </w:r>
      <w:r w:rsidR="00D3544F" w:rsidRPr="00042D27">
        <w:t>s that the UE shall apply the longer DRX configuration between MCG and SCG</w:t>
      </w:r>
      <w:r w:rsidR="00CC1B40" w:rsidRPr="00042D27">
        <w:t xml:space="preserve"> (Option 1 in the WF)</w:t>
      </w:r>
      <w:r w:rsidR="00D3544F" w:rsidRPr="00042D27">
        <w:t xml:space="preserve">. </w:t>
      </w:r>
    </w:p>
    <w:p w14:paraId="6CF0742B" w14:textId="5A6B68BB" w:rsidR="002E2FDF" w:rsidRPr="00042D27" w:rsidRDefault="008746B2" w:rsidP="005615F8">
      <w:r w:rsidRPr="00042D27">
        <w:t>However</w:t>
      </w:r>
      <w:r w:rsidR="00D3544F" w:rsidRPr="00042D27">
        <w:t>, it is clear from TS 38.331 that,</w:t>
      </w:r>
      <w:r w:rsidR="00A164FB" w:rsidRPr="00042D27">
        <w:t xml:space="preserve"> in dual</w:t>
      </w:r>
      <w:r w:rsidRPr="00042D27">
        <w:t xml:space="preserve"> </w:t>
      </w:r>
      <w:r w:rsidR="00A164FB" w:rsidRPr="00042D27">
        <w:t>connectivity,</w:t>
      </w:r>
      <w:r w:rsidR="00847D8A" w:rsidRPr="00042D27">
        <w:t xml:space="preserve"> the UE may receive two independent </w:t>
      </w:r>
      <w:r w:rsidR="00A164FB" w:rsidRPr="00042D27">
        <w:t>measConfig information elements</w:t>
      </w:r>
      <w:r w:rsidR="00847D8A" w:rsidRPr="00042D27">
        <w:t xml:space="preserve">. One </w:t>
      </w:r>
      <w:r w:rsidR="00C82952" w:rsidRPr="00042D27">
        <w:t xml:space="preserve">from </w:t>
      </w:r>
      <w:r w:rsidR="00847D8A" w:rsidRPr="00042D27">
        <w:t xml:space="preserve">MCG and another </w:t>
      </w:r>
      <w:r w:rsidR="00C82952" w:rsidRPr="00042D27">
        <w:t xml:space="preserve">from </w:t>
      </w:r>
      <w:r w:rsidR="00847D8A" w:rsidRPr="00042D27">
        <w:t xml:space="preserve">SCG. </w:t>
      </w:r>
      <w:r w:rsidR="002E2FDF" w:rsidRPr="00042D27">
        <w:t xml:space="preserve">There are different scenarios that </w:t>
      </w:r>
      <w:r w:rsidR="00A27300" w:rsidRPr="00042D27">
        <w:t>may</w:t>
      </w:r>
      <w:r w:rsidR="002E2FDF" w:rsidRPr="00042D27">
        <w:t xml:space="preserve"> happen</w:t>
      </w:r>
      <w:r w:rsidR="00A27300" w:rsidRPr="00042D27">
        <w:t xml:space="preserve"> when the UE receives two independent measurement configurations:</w:t>
      </w:r>
    </w:p>
    <w:p w14:paraId="7DAF06ED" w14:textId="659DAE37" w:rsidR="002E2FDF" w:rsidRPr="00005F93" w:rsidRDefault="00A27300" w:rsidP="00EF760B">
      <w:pPr>
        <w:pStyle w:val="ListParagraph"/>
        <w:numPr>
          <w:ilvl w:val="0"/>
          <w:numId w:val="21"/>
        </w:numPr>
      </w:pPr>
      <w:r w:rsidRPr="00042D27">
        <w:t xml:space="preserve">Case 1: </w:t>
      </w:r>
      <w:r w:rsidR="002E2FDF" w:rsidRPr="00042D27">
        <w:t xml:space="preserve">The measurement object associated with MCG has a different </w:t>
      </w:r>
      <w:r w:rsidR="002E2FDF" w:rsidRPr="00042D27">
        <w:rPr>
          <w:i/>
          <w:iCs/>
        </w:rPr>
        <w:t xml:space="preserve">ssbFrequency </w:t>
      </w:r>
      <w:r w:rsidRPr="00042D27">
        <w:t>from</w:t>
      </w:r>
      <w:r w:rsidR="002E2FDF" w:rsidRPr="00042D27">
        <w:t xml:space="preserve"> </w:t>
      </w:r>
      <w:r w:rsidR="002A1D98">
        <w:t>any</w:t>
      </w:r>
      <w:r w:rsidR="002E2FDF" w:rsidRPr="00452189">
        <w:t xml:space="preserve"> measurement object associated with SCG</w:t>
      </w:r>
      <w:r w:rsidR="002A1D98">
        <w:t xml:space="preserve"> or serving cell</w:t>
      </w:r>
      <w:r w:rsidR="00FE6BAA">
        <w:t xml:space="preserve"> in SCG</w:t>
      </w:r>
      <w:r w:rsidR="009F134B">
        <w:t>.</w:t>
      </w:r>
    </w:p>
    <w:p w14:paraId="48615AA5" w14:textId="727EB406" w:rsidR="002E2FDF" w:rsidRPr="00042D27" w:rsidRDefault="00A27300" w:rsidP="00EF760B">
      <w:pPr>
        <w:pStyle w:val="ListParagraph"/>
        <w:numPr>
          <w:ilvl w:val="0"/>
          <w:numId w:val="21"/>
        </w:numPr>
      </w:pPr>
      <w:r w:rsidRPr="00005F93">
        <w:t xml:space="preserve">Case 2: </w:t>
      </w:r>
      <w:r w:rsidR="002E2FDF" w:rsidRPr="00005F93">
        <w:t xml:space="preserve">The measurement object associated with MCG has the same </w:t>
      </w:r>
      <w:r w:rsidR="002E2FDF" w:rsidRPr="00005F93">
        <w:rPr>
          <w:i/>
          <w:iCs/>
        </w:rPr>
        <w:t>ssb</w:t>
      </w:r>
      <w:r w:rsidR="002E2FDF" w:rsidRPr="003E0F91">
        <w:rPr>
          <w:i/>
          <w:iCs/>
        </w:rPr>
        <w:t xml:space="preserve">Frequency </w:t>
      </w:r>
      <w:r w:rsidR="002E2FDF" w:rsidRPr="003E0F91">
        <w:t xml:space="preserve">as </w:t>
      </w:r>
      <w:r w:rsidR="00370FAE">
        <w:t>a</w:t>
      </w:r>
      <w:r w:rsidR="002E2FDF" w:rsidRPr="003E0F91">
        <w:t xml:space="preserve"> measurement object associated with</w:t>
      </w:r>
      <w:r w:rsidR="002E2FDF" w:rsidRPr="00452189">
        <w:t xml:space="preserve"> SCG</w:t>
      </w:r>
      <w:r w:rsidR="00FE6BAA">
        <w:t xml:space="preserve"> or </w:t>
      </w:r>
      <w:r w:rsidR="00EB224F">
        <w:t xml:space="preserve">a </w:t>
      </w:r>
      <w:r w:rsidR="00FE6BAA">
        <w:t>serving cell in SCG</w:t>
      </w:r>
      <w:r w:rsidR="002E2FDF" w:rsidRPr="00452189">
        <w:t xml:space="preserve">. </w:t>
      </w:r>
    </w:p>
    <w:p w14:paraId="71BE080A" w14:textId="3A1EB532" w:rsidR="002E2FDF" w:rsidRPr="00042D27" w:rsidRDefault="00A27300" w:rsidP="00EF760B">
      <w:pPr>
        <w:pStyle w:val="ListParagraph"/>
        <w:numPr>
          <w:ilvl w:val="1"/>
          <w:numId w:val="21"/>
        </w:numPr>
      </w:pPr>
      <w:r w:rsidRPr="00042D27">
        <w:t xml:space="preserve">Case 2a: </w:t>
      </w:r>
      <w:r w:rsidR="002E2FDF" w:rsidRPr="00042D27">
        <w:t xml:space="preserve">This </w:t>
      </w:r>
      <w:r w:rsidR="002E2FDF" w:rsidRPr="00042D27">
        <w:rPr>
          <w:i/>
          <w:iCs/>
        </w:rPr>
        <w:t>ssbFrequency</w:t>
      </w:r>
      <w:r w:rsidR="002E2FDF" w:rsidRPr="00042D27">
        <w:t xml:space="preserve"> is different from the frequency of a serving cell in SCG.</w:t>
      </w:r>
    </w:p>
    <w:p w14:paraId="64348A75" w14:textId="471A18C8" w:rsidR="002E2FDF" w:rsidRPr="00042D27" w:rsidRDefault="00A27300" w:rsidP="00040118">
      <w:pPr>
        <w:pStyle w:val="ListParagraph"/>
        <w:numPr>
          <w:ilvl w:val="1"/>
          <w:numId w:val="21"/>
        </w:numPr>
      </w:pPr>
      <w:r w:rsidRPr="00042D27">
        <w:t xml:space="preserve">Case 2b: </w:t>
      </w:r>
      <w:r w:rsidR="002E2FDF" w:rsidRPr="00042D27">
        <w:t xml:space="preserve">This </w:t>
      </w:r>
      <w:r w:rsidR="002E2FDF" w:rsidRPr="00042D27">
        <w:rPr>
          <w:i/>
          <w:iCs/>
        </w:rPr>
        <w:t xml:space="preserve">ssbFrequency </w:t>
      </w:r>
      <w:r w:rsidR="002E2FDF" w:rsidRPr="00042D27">
        <w:t>is the same as the frequency of a serving cell in SCG.</w:t>
      </w:r>
    </w:p>
    <w:p w14:paraId="60A1000A" w14:textId="09F826EF" w:rsidR="002E2FDF" w:rsidRPr="00042D27" w:rsidRDefault="002E2FDF" w:rsidP="005615F8">
      <w:r w:rsidRPr="00042D27">
        <w:t>These cases are exemplified below:</w:t>
      </w:r>
    </w:p>
    <w:p w14:paraId="0FFA41D2" w14:textId="4F35846D" w:rsidR="00A27300" w:rsidRPr="00040118" w:rsidRDefault="00A27300" w:rsidP="00040118">
      <w:pPr>
        <w:rPr>
          <w:b/>
          <w:bCs/>
          <w:u w:val="single"/>
        </w:rPr>
      </w:pPr>
      <w:r w:rsidRPr="00040118">
        <w:rPr>
          <w:b/>
          <w:bCs/>
          <w:u w:val="single"/>
        </w:rPr>
        <w:t xml:space="preserve">Case 1: The measurement object associated with MCG has a different </w:t>
      </w:r>
      <w:r w:rsidRPr="00040118">
        <w:rPr>
          <w:b/>
          <w:bCs/>
          <w:i/>
          <w:iCs/>
          <w:u w:val="single"/>
        </w:rPr>
        <w:t xml:space="preserve">ssbFrequency </w:t>
      </w:r>
      <w:r w:rsidRPr="00040118">
        <w:rPr>
          <w:b/>
          <w:bCs/>
          <w:u w:val="single"/>
        </w:rPr>
        <w:t xml:space="preserve">from </w:t>
      </w:r>
      <w:r w:rsidR="004C374E">
        <w:rPr>
          <w:b/>
          <w:bCs/>
          <w:u w:val="single"/>
        </w:rPr>
        <w:t>any</w:t>
      </w:r>
      <w:r w:rsidRPr="00040118">
        <w:rPr>
          <w:b/>
          <w:bCs/>
          <w:u w:val="single"/>
        </w:rPr>
        <w:t xml:space="preserve"> measurement object associated with SCG</w:t>
      </w:r>
      <w:r w:rsidR="005D35D2">
        <w:rPr>
          <w:b/>
          <w:bCs/>
          <w:u w:val="single"/>
        </w:rPr>
        <w:t xml:space="preserve"> or serving cell in SCG</w:t>
      </w:r>
    </w:p>
    <w:p w14:paraId="0141411C" w14:textId="77777777" w:rsidR="00A27300" w:rsidRPr="00005F93" w:rsidRDefault="00A27300" w:rsidP="00040118">
      <w:pPr>
        <w:keepNext/>
        <w:jc w:val="center"/>
      </w:pPr>
      <w:r w:rsidRPr="00005F93">
        <w:rPr>
          <w:noProof/>
        </w:rPr>
        <w:lastRenderedPageBreak/>
        <w:drawing>
          <wp:inline distT="0" distB="0" distL="0" distR="0" wp14:anchorId="1A85ABB9" wp14:editId="6459C65D">
            <wp:extent cx="5745392" cy="1875742"/>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9276" cy="1883539"/>
                    </a:xfrm>
                    <a:prstGeom prst="rect">
                      <a:avLst/>
                    </a:prstGeom>
                  </pic:spPr>
                </pic:pic>
              </a:graphicData>
            </a:graphic>
          </wp:inline>
        </w:drawing>
      </w:r>
    </w:p>
    <w:p w14:paraId="3F6B82CC" w14:textId="0D455C08" w:rsidR="00A27300" w:rsidRPr="003E0F91" w:rsidRDefault="00A27300" w:rsidP="00A27300">
      <w:pPr>
        <w:pStyle w:val="Caption"/>
      </w:pPr>
      <w:r w:rsidRPr="00005F93">
        <w:t xml:space="preserve">Figure </w:t>
      </w:r>
      <w:r w:rsidRPr="00005F93">
        <w:fldChar w:fldCharType="begin"/>
      </w:r>
      <w:r w:rsidRPr="00042D27">
        <w:instrText xml:space="preserve"> SEQ Figure \* ARABIC </w:instrText>
      </w:r>
      <w:r w:rsidRPr="00005F93">
        <w:fldChar w:fldCharType="separate"/>
      </w:r>
      <w:r w:rsidR="0056679D">
        <w:rPr>
          <w:noProof/>
        </w:rPr>
        <w:t>1</w:t>
      </w:r>
      <w:r w:rsidRPr="00005F93">
        <w:fldChar w:fldCharType="end"/>
      </w:r>
      <w:r w:rsidRPr="00005F93">
        <w:t xml:space="preserve"> - Measurement objects </w:t>
      </w:r>
      <w:r w:rsidR="007769D2" w:rsidRPr="00005F93">
        <w:t>configured by</w:t>
      </w:r>
      <w:r w:rsidRPr="003E0F91">
        <w:t xml:space="preserve"> MCG and SCG have different ssbFrequency</w:t>
      </w:r>
    </w:p>
    <w:p w14:paraId="50EFBA42" w14:textId="49D055EC" w:rsidR="00A27300" w:rsidRPr="00042D27" w:rsidRDefault="00A27300" w:rsidP="005615F8">
      <w:r w:rsidRPr="003E0F91">
        <w:t>In this case, exemplified in Figure 1, the UE has two independent measurement ob</w:t>
      </w:r>
      <w:r w:rsidRPr="00452189">
        <w:t xml:space="preserve">jects, </w:t>
      </w:r>
      <w:r w:rsidRPr="00042D27">
        <w:t xml:space="preserve">with different </w:t>
      </w:r>
      <w:r w:rsidRPr="00042D27">
        <w:rPr>
          <w:i/>
          <w:iCs/>
        </w:rPr>
        <w:t>ssbFrequency</w:t>
      </w:r>
      <w:r w:rsidRPr="00042D27">
        <w:t xml:space="preserve">. </w:t>
      </w:r>
    </w:p>
    <w:p w14:paraId="6B97A88B" w14:textId="3074FA96" w:rsidR="00D3544F" w:rsidRPr="00042D27" w:rsidRDefault="00A164FB" w:rsidP="005615F8">
      <w:r w:rsidRPr="00042D27">
        <w:t>F</w:t>
      </w:r>
      <w:r w:rsidR="00D3544F" w:rsidRPr="00042D27">
        <w:t xml:space="preserve">or a measurement </w:t>
      </w:r>
      <w:r w:rsidR="008F53E0" w:rsidRPr="00042D27">
        <w:t xml:space="preserve">object </w:t>
      </w:r>
      <w:r w:rsidR="00D3544F" w:rsidRPr="00042D27">
        <w:t xml:space="preserve">configured by a Cell Group (CG), the UE shall </w:t>
      </w:r>
      <w:r w:rsidR="00C82952" w:rsidRPr="00042D27">
        <w:t xml:space="preserve">perform the measurements </w:t>
      </w:r>
      <w:r w:rsidR="009C7DA8" w:rsidRPr="00042D27">
        <w:t xml:space="preserve">according to the </w:t>
      </w:r>
      <w:r w:rsidR="00D3544F" w:rsidRPr="00042D27">
        <w:t>appl</w:t>
      </w:r>
      <w:r w:rsidR="009C7DA8" w:rsidRPr="00042D27">
        <w:t>ied</w:t>
      </w:r>
      <w:r w:rsidR="00D3544F" w:rsidRPr="00042D27">
        <w:t xml:space="preserve"> the DRX </w:t>
      </w:r>
      <w:r w:rsidR="009C7DA8" w:rsidRPr="00042D27">
        <w:t>cycle of</w:t>
      </w:r>
      <w:r w:rsidR="00D3544F" w:rsidRPr="00042D27">
        <w:t xml:space="preserve"> the same CG</w:t>
      </w:r>
      <w:r w:rsidR="008E0659" w:rsidRPr="00042D27">
        <w:t xml:space="preserve"> </w:t>
      </w:r>
      <w:r w:rsidR="00C05949" w:rsidRPr="00042D27">
        <w:t>configuring the Object.</w:t>
      </w:r>
      <w:r w:rsidR="00847D8A" w:rsidRPr="00042D27">
        <w:t xml:space="preserve"> </w:t>
      </w:r>
      <w:r w:rsidR="00C05949" w:rsidRPr="00042D27">
        <w:t xml:space="preserve">This principle also applies </w:t>
      </w:r>
      <w:r w:rsidR="00847D8A" w:rsidRPr="00042D27">
        <w:t>if the UE has received two independent measConfig</w:t>
      </w:r>
      <w:r w:rsidR="00D3544F" w:rsidRPr="00042D27">
        <w:t xml:space="preserve">. </w:t>
      </w:r>
      <w:r w:rsidR="00A27300" w:rsidRPr="00042D27">
        <w:t>Therefore, the UE has to fulfil the requirements of the measurement object associated with the CG that configured the inter-frequency</w:t>
      </w:r>
      <w:r w:rsidR="007769D2" w:rsidRPr="00042D27">
        <w:t xml:space="preserve"> or inter-RAT</w:t>
      </w:r>
      <w:r w:rsidR="00A27300" w:rsidRPr="00042D27">
        <w:t xml:space="preserve"> measurement. This behavior is detailed in TS 38.331, and there is no clarification needed.</w:t>
      </w:r>
    </w:p>
    <w:p w14:paraId="09280D0B" w14:textId="15AEF007" w:rsidR="003E0F91" w:rsidRDefault="00312760" w:rsidP="00040118">
      <w:pPr>
        <w:pStyle w:val="RAN4observation0"/>
      </w:pPr>
      <w:r w:rsidRPr="00550B23">
        <w:t>If the UE has received two indep</w:t>
      </w:r>
      <w:r w:rsidRPr="00972E8A">
        <w:t xml:space="preserve">endent measurement configurations containing measurement objects with different </w:t>
      </w:r>
      <w:r w:rsidR="009F134B" w:rsidRPr="00040118">
        <w:rPr>
          <w:i/>
        </w:rPr>
        <w:t>ssbFrequency</w:t>
      </w:r>
      <w:r w:rsidRPr="00005F93">
        <w:t xml:space="preserve">, one for MCG and another for SCG, the UE applies the DRX cycle of the CG that is associated with the measurement. </w:t>
      </w:r>
    </w:p>
    <w:p w14:paraId="1CA0411F" w14:textId="621AF187" w:rsidR="00A27300" w:rsidRPr="00040118" w:rsidRDefault="00A27300" w:rsidP="00040118">
      <w:pPr>
        <w:pStyle w:val="RAN4proposal"/>
        <w:numPr>
          <w:ilvl w:val="0"/>
          <w:numId w:val="0"/>
        </w:numPr>
        <w:ind w:left="-262"/>
        <w:rPr>
          <w:u w:val="single"/>
        </w:rPr>
      </w:pPr>
      <w:r w:rsidRPr="00040118">
        <w:rPr>
          <w:u w:val="single"/>
        </w:rPr>
        <w:t>Case 2a: The</w:t>
      </w:r>
      <w:r w:rsidR="009F134B">
        <w:rPr>
          <w:u w:val="single"/>
        </w:rPr>
        <w:t xml:space="preserve"> inter-frequency</w:t>
      </w:r>
      <w:r w:rsidRPr="00040118">
        <w:rPr>
          <w:u w:val="single"/>
        </w:rPr>
        <w:t xml:space="preserve"> measurement object associated with MCG has </w:t>
      </w:r>
      <w:r w:rsidR="009F134B">
        <w:rPr>
          <w:u w:val="single"/>
        </w:rPr>
        <w:t>the same</w:t>
      </w:r>
      <w:r w:rsidRPr="00040118">
        <w:rPr>
          <w:u w:val="single"/>
        </w:rPr>
        <w:t xml:space="preserve"> </w:t>
      </w:r>
      <w:r w:rsidRPr="00040118">
        <w:rPr>
          <w:i/>
          <w:u w:val="single"/>
        </w:rPr>
        <w:t xml:space="preserve">ssbFrequency </w:t>
      </w:r>
      <w:r w:rsidR="009F134B">
        <w:rPr>
          <w:u w:val="single"/>
        </w:rPr>
        <w:t>as</w:t>
      </w:r>
      <w:r w:rsidRPr="00040118">
        <w:rPr>
          <w:u w:val="single"/>
        </w:rPr>
        <w:t xml:space="preserve"> </w:t>
      </w:r>
      <w:r w:rsidR="00DC1037">
        <w:rPr>
          <w:u w:val="single"/>
        </w:rPr>
        <w:t>a</w:t>
      </w:r>
      <w:r w:rsidRPr="00040118">
        <w:rPr>
          <w:u w:val="single"/>
        </w:rPr>
        <w:t xml:space="preserve"> measurement object associated with SCG, </w:t>
      </w:r>
      <w:r w:rsidR="00B87FCC" w:rsidRPr="00005F93">
        <w:rPr>
          <w:u w:val="single"/>
        </w:rPr>
        <w:t>and this frequency is not</w:t>
      </w:r>
      <w:r w:rsidRPr="00040118">
        <w:rPr>
          <w:u w:val="single"/>
        </w:rPr>
        <w:t xml:space="preserve"> the frequency of any serving cell in MCG or SCG</w:t>
      </w:r>
    </w:p>
    <w:p w14:paraId="3C2CEA43" w14:textId="0208BC7B" w:rsidR="003D57DC" w:rsidRPr="00042D27" w:rsidRDefault="007769D2" w:rsidP="00040118">
      <w:r w:rsidRPr="00005F93">
        <w:t>It</w:t>
      </w:r>
      <w:r w:rsidR="00712055" w:rsidRPr="00005F93">
        <w:t xml:space="preserve"> is possible that </w:t>
      </w:r>
      <w:r w:rsidR="00A164FB" w:rsidRPr="00042D27">
        <w:t xml:space="preserve">the UE </w:t>
      </w:r>
      <w:r w:rsidR="00712055" w:rsidRPr="00042D27">
        <w:t>receives</w:t>
      </w:r>
      <w:r w:rsidR="00A164FB" w:rsidRPr="00042D27">
        <w:t xml:space="preserve"> two independent measurement configurations</w:t>
      </w:r>
      <w:r w:rsidR="001023C8" w:rsidRPr="00042D27">
        <w:t xml:space="preserve">, one for MCG and one for SCG, </w:t>
      </w:r>
      <w:r w:rsidR="00DD4646" w:rsidRPr="00042D27">
        <w:t>containing measurement object</w:t>
      </w:r>
      <w:r w:rsidR="003D57DC" w:rsidRPr="00042D27">
        <w:t xml:space="preserve">s with the same </w:t>
      </w:r>
      <w:r w:rsidR="009F134B">
        <w:t>ssb</w:t>
      </w:r>
      <w:r w:rsidR="009F134B">
        <w:rPr>
          <w:i/>
          <w:iCs/>
        </w:rPr>
        <w:t>F</w:t>
      </w:r>
      <w:r w:rsidR="003D57DC" w:rsidRPr="00040118">
        <w:rPr>
          <w:i/>
          <w:iCs/>
        </w:rPr>
        <w:t>requency</w:t>
      </w:r>
      <w:r w:rsidR="00A164FB" w:rsidRPr="00005F93">
        <w:t xml:space="preserve">, </w:t>
      </w:r>
      <w:r w:rsidRPr="00005F93">
        <w:t>as in Figure 2</w:t>
      </w:r>
      <w:r w:rsidR="00712055" w:rsidRPr="00042D27">
        <w:t xml:space="preserve">. </w:t>
      </w:r>
    </w:p>
    <w:p w14:paraId="1FC1D003" w14:textId="43C0558C" w:rsidR="007769D2" w:rsidRPr="00005F93" w:rsidRDefault="001023C8" w:rsidP="00040118">
      <w:pPr>
        <w:pStyle w:val="3GPPText"/>
        <w:keepNext/>
        <w:jc w:val="center"/>
      </w:pPr>
      <w:r w:rsidRPr="00005F93">
        <w:rPr>
          <w:noProof/>
        </w:rPr>
        <w:drawing>
          <wp:inline distT="0" distB="0" distL="0" distR="0" wp14:anchorId="449EAAC2" wp14:editId="35312075">
            <wp:extent cx="5104382" cy="1707233"/>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b="39972"/>
                    <a:stretch/>
                  </pic:blipFill>
                  <pic:spPr bwMode="auto">
                    <a:xfrm>
                      <a:off x="0" y="0"/>
                      <a:ext cx="5157068" cy="1724855"/>
                    </a:xfrm>
                    <a:prstGeom prst="rect">
                      <a:avLst/>
                    </a:prstGeom>
                    <a:ln>
                      <a:noFill/>
                    </a:ln>
                    <a:extLst>
                      <a:ext uri="{53640926-AAD7-44D8-BBD7-CCE9431645EC}">
                        <a14:shadowObscured xmlns:a14="http://schemas.microsoft.com/office/drawing/2010/main"/>
                      </a:ext>
                    </a:extLst>
                  </pic:spPr>
                </pic:pic>
              </a:graphicData>
            </a:graphic>
          </wp:inline>
        </w:drawing>
      </w:r>
    </w:p>
    <w:p w14:paraId="6138AAE4" w14:textId="1833304A" w:rsidR="003D57DC" w:rsidRPr="003E0F91" w:rsidRDefault="007769D2" w:rsidP="00EF760B">
      <w:pPr>
        <w:pStyle w:val="Caption"/>
      </w:pPr>
      <w:r w:rsidRPr="00005F93">
        <w:t xml:space="preserve">Figure </w:t>
      </w:r>
      <w:r w:rsidRPr="00005F93">
        <w:fldChar w:fldCharType="begin"/>
      </w:r>
      <w:r w:rsidRPr="00042D27">
        <w:instrText xml:space="preserve"> SEQ Figure \* ARABIC </w:instrText>
      </w:r>
      <w:r w:rsidRPr="00005F93">
        <w:fldChar w:fldCharType="separate"/>
      </w:r>
      <w:r w:rsidR="0056679D">
        <w:rPr>
          <w:noProof/>
        </w:rPr>
        <w:t>2</w:t>
      </w:r>
      <w:r w:rsidRPr="00005F93">
        <w:fldChar w:fldCharType="end"/>
      </w:r>
      <w:r w:rsidRPr="00005F93">
        <w:t xml:space="preserve"> - Measurement objects configured by MCG and SCG have </w:t>
      </w:r>
      <w:r w:rsidRPr="003E0F91">
        <w:t>the same ssbFrequency. This frequency is not the frequency of any serving cell in MCG or SCG.</w:t>
      </w:r>
    </w:p>
    <w:p w14:paraId="79D6D62F" w14:textId="41E3C71B" w:rsidR="007769D2" w:rsidRPr="00452189" w:rsidRDefault="007769D2" w:rsidP="00EF760B"/>
    <w:p w14:paraId="425E3A6F" w14:textId="2DC3A87F" w:rsidR="001023C8" w:rsidRDefault="00671410" w:rsidP="00EF760B">
      <w:r>
        <w:t xml:space="preserve">In this case, </w:t>
      </w:r>
      <w:r w:rsidR="009F134B">
        <w:t>similar to Case 1, the UE shall fulfil the requirements according to P</w:t>
      </w:r>
      <w:r w:rsidR="00943675">
        <w:t>C</w:t>
      </w:r>
      <w:r w:rsidR="009F134B">
        <w:t xml:space="preserve">ell DRX cycle </w:t>
      </w:r>
      <w:r w:rsidR="00943675">
        <w:t>and according to</w:t>
      </w:r>
      <w:r w:rsidR="009F134B">
        <w:t xml:space="preserve"> PSCell DRX cycle. </w:t>
      </w:r>
      <w:r w:rsidR="001023C8" w:rsidRPr="00005F93">
        <w:t>In order to fulfil simultaneously both requirement</w:t>
      </w:r>
      <w:r w:rsidR="001023C8" w:rsidRPr="003E0F91">
        <w:t>s, while performing only one physical measurement</w:t>
      </w:r>
      <w:r w:rsidR="00080582">
        <w:t xml:space="preserve"> on the measurement Object</w:t>
      </w:r>
      <w:r w:rsidR="001023C8" w:rsidRPr="003E0F91">
        <w:t>, the UE shall follow the shortest DRX cycle.</w:t>
      </w:r>
      <w:r w:rsidR="009F134B">
        <w:t xml:space="preserve"> It is important to note that there is no increase on power consumption due to this clarification, since </w:t>
      </w:r>
      <w:r w:rsidR="00BD2527">
        <w:t xml:space="preserve">according to current requirements </w:t>
      </w:r>
      <w:r w:rsidR="009F134B">
        <w:t xml:space="preserve">the UE </w:t>
      </w:r>
      <w:r w:rsidR="00BD2527">
        <w:t>shall</w:t>
      </w:r>
      <w:r w:rsidR="009F134B">
        <w:t xml:space="preserve"> anyway </w:t>
      </w:r>
      <w:r w:rsidR="00512F0D">
        <w:t xml:space="preserve">already </w:t>
      </w:r>
      <w:r w:rsidR="009F134B">
        <w:t>fulfil the requirements of both CGs.</w:t>
      </w:r>
    </w:p>
    <w:p w14:paraId="46D5DF2E" w14:textId="4FFD0ABB" w:rsidR="00E95620" w:rsidRDefault="00E95620" w:rsidP="00E95620">
      <w:pPr>
        <w:pStyle w:val="RAN4observation0"/>
      </w:pPr>
      <w:r>
        <w:t xml:space="preserve">When the UE receives two independent measurement configurations, one from MCG and one for the SCG, with measurement objects with the same </w:t>
      </w:r>
      <w:r>
        <w:rPr>
          <w:i/>
          <w:iCs/>
        </w:rPr>
        <w:t>ssbFrequency</w:t>
      </w:r>
      <w:r>
        <w:t xml:space="preserve">, the UE shall fulfil the requirements in both MCG and SCG. </w:t>
      </w:r>
    </w:p>
    <w:p w14:paraId="399175DC" w14:textId="38CCD772" w:rsidR="00E95620" w:rsidRPr="00005F93" w:rsidRDefault="000617AB" w:rsidP="00040118">
      <w:pPr>
        <w:pStyle w:val="RAN4observation0"/>
      </w:pPr>
      <w:r>
        <w:t>To fulfil the current minimum requirements,</w:t>
      </w:r>
      <w:r w:rsidR="00E95620">
        <w:t xml:space="preserve"> the </w:t>
      </w:r>
      <w:r w:rsidR="00FE172E">
        <w:t xml:space="preserve">UE </w:t>
      </w:r>
      <w:r w:rsidR="004F378E">
        <w:t>must</w:t>
      </w:r>
      <w:r w:rsidR="00FE172E">
        <w:t xml:space="preserve"> use</w:t>
      </w:r>
      <w:r w:rsidR="00E95620">
        <w:t xml:space="preserve"> the shortest DRX cycle</w:t>
      </w:r>
      <w:r w:rsidR="00C06064">
        <w:t xml:space="preserve"> of MCG and SCG</w:t>
      </w:r>
      <w:r w:rsidR="00E95620">
        <w:t xml:space="preserve">, </w:t>
      </w:r>
      <w:r w:rsidR="007249FD">
        <w:t>for the</w:t>
      </w:r>
      <w:r w:rsidR="00E95620">
        <w:t xml:space="preserve"> UE </w:t>
      </w:r>
      <w:r w:rsidR="00676749">
        <w:t xml:space="preserve">to </w:t>
      </w:r>
      <w:r w:rsidR="001669DD">
        <w:t>ensure</w:t>
      </w:r>
      <w:r w:rsidR="00E95620">
        <w:t xml:space="preserve"> </w:t>
      </w:r>
      <w:r w:rsidR="001669DD">
        <w:t xml:space="preserve">that the UE can </w:t>
      </w:r>
      <w:r w:rsidR="00E95620">
        <w:t xml:space="preserve">fulfil the </w:t>
      </w:r>
      <w:r w:rsidR="00172244">
        <w:t>measurement</w:t>
      </w:r>
      <w:r w:rsidR="00E95620">
        <w:t xml:space="preserve"> requirements with a single physical measurement.</w:t>
      </w:r>
    </w:p>
    <w:p w14:paraId="634D6F42" w14:textId="18B02693" w:rsidR="00452189" w:rsidRPr="003071B2" w:rsidRDefault="00452189" w:rsidP="00452189">
      <w:pPr>
        <w:pStyle w:val="RAN4proposal"/>
        <w:rPr>
          <w:lang w:val="en-GB"/>
        </w:rPr>
      </w:pPr>
      <w:r>
        <w:rPr>
          <w:lang w:val="en-GB"/>
        </w:rPr>
        <w:lastRenderedPageBreak/>
        <w:t xml:space="preserve">For the case where the MCG and the SCG configure an inter-frequency or an inter-RAT measurement on a common </w:t>
      </w:r>
      <w:r>
        <w:rPr>
          <w:i/>
          <w:iCs w:val="0"/>
          <w:lang w:val="en-GB"/>
        </w:rPr>
        <w:t>ssbFrequency</w:t>
      </w:r>
      <w:r>
        <w:rPr>
          <w:lang w:val="en-GB"/>
        </w:rPr>
        <w:t>, no clarifications are needed.</w:t>
      </w:r>
    </w:p>
    <w:p w14:paraId="6B928F4A" w14:textId="54D7EE53" w:rsidR="009F134B" w:rsidRPr="00040118" w:rsidRDefault="009F134B" w:rsidP="00040118">
      <w:pPr>
        <w:pStyle w:val="RAN4proposal"/>
        <w:numPr>
          <w:ilvl w:val="0"/>
          <w:numId w:val="0"/>
        </w:numPr>
        <w:ind w:left="-262"/>
        <w:rPr>
          <w:u w:val="single"/>
        </w:rPr>
      </w:pPr>
      <w:r w:rsidRPr="00040118">
        <w:rPr>
          <w:u w:val="single"/>
        </w:rPr>
        <w:t xml:space="preserve">Case 2b: The measurement object associated with </w:t>
      </w:r>
      <w:r w:rsidR="00641F4F">
        <w:rPr>
          <w:u w:val="single"/>
        </w:rPr>
        <w:t>S</w:t>
      </w:r>
      <w:r w:rsidRPr="00040118">
        <w:rPr>
          <w:u w:val="single"/>
        </w:rPr>
        <w:t xml:space="preserve">CG has the same </w:t>
      </w:r>
      <w:r w:rsidRPr="00040118">
        <w:rPr>
          <w:i/>
          <w:u w:val="single"/>
        </w:rPr>
        <w:t xml:space="preserve">ssbFrequency </w:t>
      </w:r>
      <w:r w:rsidRPr="00040118">
        <w:rPr>
          <w:u w:val="single"/>
        </w:rPr>
        <w:t xml:space="preserve">as </w:t>
      </w:r>
      <w:r w:rsidR="003A7993">
        <w:rPr>
          <w:u w:val="single"/>
        </w:rPr>
        <w:t>a</w:t>
      </w:r>
      <w:r w:rsidRPr="00040118">
        <w:rPr>
          <w:u w:val="single"/>
        </w:rPr>
        <w:t xml:space="preserve"> measurement object associated with SCG, and this </w:t>
      </w:r>
      <w:r w:rsidRPr="00040118">
        <w:rPr>
          <w:i/>
          <w:iCs w:val="0"/>
          <w:u w:val="single"/>
        </w:rPr>
        <w:t>ssbFrequency</w:t>
      </w:r>
      <w:r w:rsidRPr="00040118">
        <w:rPr>
          <w:u w:val="single"/>
        </w:rPr>
        <w:t xml:space="preserve"> is </w:t>
      </w:r>
      <w:r w:rsidR="0056679D">
        <w:rPr>
          <w:u w:val="single"/>
        </w:rPr>
        <w:t>a serving cell/ frequency</w:t>
      </w:r>
      <w:r w:rsidRPr="00040118">
        <w:rPr>
          <w:u w:val="single"/>
        </w:rPr>
        <w:t xml:space="preserve"> in </w:t>
      </w:r>
      <w:r w:rsidR="00641F4F">
        <w:rPr>
          <w:u w:val="single"/>
        </w:rPr>
        <w:t>M</w:t>
      </w:r>
      <w:r w:rsidRPr="00040118">
        <w:rPr>
          <w:u w:val="single"/>
        </w:rPr>
        <w:t>CG</w:t>
      </w:r>
    </w:p>
    <w:p w14:paraId="1F71CFB5" w14:textId="47C75A3D" w:rsidR="001023C8" w:rsidRDefault="0056679D" w:rsidP="007769D2">
      <w:r>
        <w:t xml:space="preserve">Another case is when the UE </w:t>
      </w:r>
      <w:r w:rsidR="008468A7">
        <w:t>configured with a</w:t>
      </w:r>
      <w:r>
        <w:t xml:space="preserve"> measurement objects from </w:t>
      </w:r>
      <w:r w:rsidR="008468A7">
        <w:t xml:space="preserve">e.g. </w:t>
      </w:r>
      <w:r>
        <w:t xml:space="preserve">SCG, with the same </w:t>
      </w:r>
      <w:r>
        <w:rPr>
          <w:i/>
          <w:iCs/>
        </w:rPr>
        <w:t>ssbFrequency</w:t>
      </w:r>
      <w:r>
        <w:t xml:space="preserve">, which is a serving cell/ </w:t>
      </w:r>
      <w:r w:rsidR="00E95620">
        <w:t>frequency</w:t>
      </w:r>
      <w:r>
        <w:t xml:space="preserve"> </w:t>
      </w:r>
      <w:r w:rsidR="00743096">
        <w:t>i</w:t>
      </w:r>
      <w:r>
        <w:t xml:space="preserve">n MCG. </w:t>
      </w:r>
      <w:r w:rsidR="00943675">
        <w:t xml:space="preserve">This case is exemplified in </w:t>
      </w:r>
      <w:r w:rsidR="00EF760B">
        <w:t>Figure</w:t>
      </w:r>
      <w:r w:rsidR="00943675">
        <w:t xml:space="preserve"> 3.</w:t>
      </w:r>
    </w:p>
    <w:p w14:paraId="6CEA631A" w14:textId="3D2706FB" w:rsidR="0056679D" w:rsidRDefault="00D700C2" w:rsidP="00040118">
      <w:pPr>
        <w:keepNext/>
        <w:jc w:val="center"/>
      </w:pPr>
      <w:r>
        <w:rPr>
          <w:noProof/>
        </w:rPr>
        <w:drawing>
          <wp:inline distT="0" distB="0" distL="0" distR="0" wp14:anchorId="5E6F6E41" wp14:editId="226FE83D">
            <wp:extent cx="5031843" cy="16584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73424" cy="1672170"/>
                    </a:xfrm>
                    <a:prstGeom prst="rect">
                      <a:avLst/>
                    </a:prstGeom>
                  </pic:spPr>
                </pic:pic>
              </a:graphicData>
            </a:graphic>
          </wp:inline>
        </w:drawing>
      </w:r>
    </w:p>
    <w:p w14:paraId="23672B8A" w14:textId="1F5B8CF0" w:rsidR="00EF760B" w:rsidRPr="00040118" w:rsidRDefault="0056679D" w:rsidP="00040118">
      <w:pPr>
        <w:pStyle w:val="Caption"/>
        <w:rPr>
          <w:i w:val="0"/>
          <w:iCs w:val="0"/>
        </w:rPr>
      </w:pPr>
      <w:r>
        <w:t xml:space="preserve">Figure </w:t>
      </w:r>
      <w:r w:rsidR="002C47A6">
        <w:fldChar w:fldCharType="begin"/>
      </w:r>
      <w:r w:rsidR="002C47A6">
        <w:instrText xml:space="preserve"> SEQ Figure \* ARABIC </w:instrText>
      </w:r>
      <w:r w:rsidR="002C47A6">
        <w:fldChar w:fldCharType="separate"/>
      </w:r>
      <w:r>
        <w:rPr>
          <w:noProof/>
        </w:rPr>
        <w:t>3</w:t>
      </w:r>
      <w:r w:rsidR="002C47A6">
        <w:rPr>
          <w:noProof/>
        </w:rPr>
        <w:fldChar w:fldCharType="end"/>
      </w:r>
      <w:r w:rsidRPr="001936C8">
        <w:t>- Measurement objects configured by SCG have the same ssbFrequency</w:t>
      </w:r>
      <w:r>
        <w:rPr>
          <w:i w:val="0"/>
          <w:iCs w:val="0"/>
        </w:rPr>
        <w:t>, which is used by a serving cell in MCG.</w:t>
      </w:r>
    </w:p>
    <w:p w14:paraId="48776D7F" w14:textId="10675DC6" w:rsidR="001023C8" w:rsidRPr="00005F93" w:rsidRDefault="0056679D" w:rsidP="007769D2">
      <w:r>
        <w:t xml:space="preserve">In the example in Figure 3, the </w:t>
      </w:r>
      <w:r w:rsidR="00E54D33">
        <w:t xml:space="preserve">UE would need to fulfil </w:t>
      </w:r>
      <w:r w:rsidR="00AE765C">
        <w:t xml:space="preserve">at least </w:t>
      </w:r>
      <w:r w:rsidR="00E54D33">
        <w:t>the inter-frequency measurement requirements</w:t>
      </w:r>
      <w:r>
        <w:t xml:space="preserve">, as configured by SCG, and </w:t>
      </w:r>
      <w:r w:rsidR="00AE765C">
        <w:t xml:space="preserve">at least </w:t>
      </w:r>
      <w:r>
        <w:t>int</w:t>
      </w:r>
      <w:r w:rsidR="00E54D33">
        <w:t>r</w:t>
      </w:r>
      <w:r w:rsidR="00AE1F53">
        <w:t>a</w:t>
      </w:r>
      <w:r>
        <w:t xml:space="preserve">-frequency measurement </w:t>
      </w:r>
      <w:r w:rsidR="00E54D33">
        <w:t xml:space="preserve">requirements </w:t>
      </w:r>
      <w:r w:rsidR="00AE765C">
        <w:t>according to</w:t>
      </w:r>
      <w:r>
        <w:t xml:space="preserve"> MCG. In the same manner as in Case 2a, only one physical measurement is performed, and the UE shall fulfil the minimum requirements</w:t>
      </w:r>
      <w:r w:rsidR="00E95620">
        <w:t xml:space="preserve"> </w:t>
      </w:r>
      <w:r w:rsidR="00C65BD9">
        <w:t>of</w:t>
      </w:r>
      <w:r w:rsidR="00E95620">
        <w:t xml:space="preserve"> both cases</w:t>
      </w:r>
      <w:r>
        <w:t xml:space="preserve">. </w:t>
      </w:r>
    </w:p>
    <w:p w14:paraId="51346DCF" w14:textId="420697F0" w:rsidR="00E95620" w:rsidRDefault="32666A31" w:rsidP="00452189">
      <w:pPr>
        <w:pStyle w:val="RAN4observation0"/>
      </w:pPr>
      <w:r>
        <w:t xml:space="preserve">In order to fulfil current measurement requirements, </w:t>
      </w:r>
      <w:r w:rsidR="1F4EBEA2">
        <w:t>i</w:t>
      </w:r>
      <w:r w:rsidR="00E95620">
        <w:t>f</w:t>
      </w:r>
      <w:r w:rsidR="00E95620" w:rsidRPr="003071B2">
        <w:t xml:space="preserve"> the UE has received two independent measurement configurations containing measurement objects with the same </w:t>
      </w:r>
      <w:r w:rsidR="00E95620" w:rsidRPr="003071B2">
        <w:rPr>
          <w:i/>
        </w:rPr>
        <w:t>ssbFrequency</w:t>
      </w:r>
      <w:r w:rsidR="00E95620" w:rsidRPr="003071B2">
        <w:t xml:space="preserve">, one for MCG and another for SCG, </w:t>
      </w:r>
      <w:r w:rsidR="00E95620">
        <w:t xml:space="preserve">and </w:t>
      </w:r>
      <w:r w:rsidR="00C15D3C">
        <w:t>the</w:t>
      </w:r>
      <w:r w:rsidR="00E95620">
        <w:t xml:space="preserve"> </w:t>
      </w:r>
      <w:r w:rsidR="00E95620">
        <w:rPr>
          <w:i/>
          <w:iCs/>
        </w:rPr>
        <w:t xml:space="preserve">ssbFrequency </w:t>
      </w:r>
      <w:r w:rsidR="00E95620">
        <w:t xml:space="preserve">is the same as a serving cell </w:t>
      </w:r>
      <w:r w:rsidR="001378B3">
        <w:t>carrier</w:t>
      </w:r>
      <w:r w:rsidR="00F71626">
        <w:t>,</w:t>
      </w:r>
      <w:r w:rsidR="00E95620">
        <w:t xml:space="preserve"> in either MCG </w:t>
      </w:r>
      <w:r w:rsidR="00005F93">
        <w:t>or</w:t>
      </w:r>
      <w:r w:rsidR="00E95620">
        <w:t xml:space="preserve"> SCG, the UE applies the DRX cycle of the CG that contains this serving cell.</w:t>
      </w:r>
    </w:p>
    <w:p w14:paraId="1FDA4642" w14:textId="6A7347EF" w:rsidR="00452189" w:rsidRPr="00040118" w:rsidRDefault="00452189" w:rsidP="00042D27">
      <w:pPr>
        <w:pStyle w:val="RAN4proposal"/>
        <w:rPr>
          <w:lang w:val="en-GB"/>
        </w:rPr>
      </w:pPr>
      <w:r>
        <w:rPr>
          <w:lang w:val="en-GB"/>
        </w:rPr>
        <w:t>For the case in which an inter-frequency or an inter-RAT measurement is configured on a serving carrier, no clarifications are needed.</w:t>
      </w:r>
    </w:p>
    <w:p w14:paraId="3200FBB3" w14:textId="77777777" w:rsidR="00830BD1" w:rsidRPr="003E0F91" w:rsidRDefault="00830BD1" w:rsidP="00040118"/>
    <w:p w14:paraId="1DFB959B" w14:textId="0529DEFB" w:rsidR="008231C4" w:rsidRPr="00040118" w:rsidRDefault="008231C4" w:rsidP="001C4933">
      <w:pPr>
        <w:pStyle w:val="RAN4H1"/>
        <w:ind w:left="426" w:hanging="426"/>
        <w:rPr>
          <w:lang w:val="en-US"/>
        </w:rPr>
      </w:pPr>
      <w:r w:rsidRPr="00040118">
        <w:rPr>
          <w:lang w:val="en-US"/>
        </w:rPr>
        <w:t>Conclusion</w:t>
      </w:r>
    </w:p>
    <w:p w14:paraId="2E7B923A" w14:textId="041FBC31" w:rsidR="001C4933" w:rsidRPr="00040118" w:rsidRDefault="00A164FB" w:rsidP="001C4933">
      <w:pPr>
        <w:rPr>
          <w:rFonts w:eastAsia="Calibri" w:cs="Times New Roman"/>
          <w:szCs w:val="20"/>
        </w:rPr>
      </w:pPr>
      <w:r w:rsidRPr="00040118">
        <w:rPr>
          <w:rFonts w:eastAsia="Calibri" w:cs="Times New Roman"/>
          <w:szCs w:val="20"/>
        </w:rPr>
        <w:t xml:space="preserve">In this document, Nokia’s views on the applicable DRX cycle for inter-frequency and inter-RAT measurement in NE-DC and NR-DC are presented, with the following proposals and observations: </w:t>
      </w:r>
    </w:p>
    <w:p w14:paraId="2822425E" w14:textId="77777777" w:rsidR="00F45A5B" w:rsidRPr="00A810ED" w:rsidRDefault="00F45A5B" w:rsidP="00A810ED">
      <w:pPr>
        <w:pStyle w:val="RAN4Observation"/>
        <w:numPr>
          <w:ilvl w:val="0"/>
          <w:numId w:val="24"/>
        </w:numPr>
        <w:rPr>
          <w:lang w:val="en-US"/>
        </w:rPr>
      </w:pPr>
      <w:r w:rsidRPr="00A810ED">
        <w:rPr>
          <w:lang w:val="en-US"/>
        </w:rPr>
        <w:t xml:space="preserve">The UE DRX configuration is configured by the network, per cell group. </w:t>
      </w:r>
    </w:p>
    <w:p w14:paraId="71BFB95F" w14:textId="011ACE14" w:rsidR="00F45A5B" w:rsidRPr="00F45A5B" w:rsidRDefault="00F45A5B" w:rsidP="00F45A5B">
      <w:pPr>
        <w:pStyle w:val="RAN4Observation"/>
        <w:rPr>
          <w:lang w:val="en-US"/>
        </w:rPr>
      </w:pPr>
      <w:r w:rsidRPr="00F45A5B">
        <w:rPr>
          <w:lang w:val="en-US"/>
        </w:rPr>
        <w:t xml:space="preserve">In NR-DC, the UE may receive two independent </w:t>
      </w:r>
      <w:r w:rsidRPr="00F45A5B">
        <w:rPr>
          <w:i/>
          <w:iCs/>
          <w:lang w:val="en-US"/>
        </w:rPr>
        <w:t>measConfig</w:t>
      </w:r>
      <w:r w:rsidRPr="00F45A5B">
        <w:rPr>
          <w:lang w:val="en-US"/>
        </w:rPr>
        <w:t xml:space="preserve">. One associated with MCG and one associated with SCG. It is clear from TS 38.331 that the UE independently performs all the measurement procedures for each </w:t>
      </w:r>
      <w:r w:rsidRPr="00F45A5B">
        <w:rPr>
          <w:i/>
          <w:iCs/>
          <w:lang w:val="en-US"/>
        </w:rPr>
        <w:t>measConfig</w:t>
      </w:r>
      <w:r w:rsidRPr="00F45A5B">
        <w:rPr>
          <w:lang w:val="en-US"/>
        </w:rPr>
        <w:t xml:space="preserve"> unless explicitly stated otherwise.</w:t>
      </w:r>
    </w:p>
    <w:p w14:paraId="633756E3" w14:textId="77777777" w:rsidR="00F45A5B" w:rsidRPr="00341781" w:rsidRDefault="00F45A5B" w:rsidP="00F45A5B">
      <w:pPr>
        <w:pStyle w:val="RAN4Observation"/>
      </w:pPr>
      <w:r w:rsidRPr="00341380">
        <w:t>The UE shall fulfil the requirements according to the CG that configured the measurement.</w:t>
      </w:r>
    </w:p>
    <w:p w14:paraId="5DC4581A" w14:textId="77777777" w:rsidR="00F45A5B" w:rsidRDefault="00F45A5B" w:rsidP="00F45A5B">
      <w:pPr>
        <w:pStyle w:val="RAN4Observation"/>
      </w:pPr>
      <w:r w:rsidRPr="00550B23">
        <w:t>If the UE has received two indep</w:t>
      </w:r>
      <w:r w:rsidRPr="00972E8A">
        <w:t xml:space="preserve">endent measurement configurations containing measurement objects with different </w:t>
      </w:r>
      <w:r w:rsidRPr="00F45A5B">
        <w:rPr>
          <w:i/>
        </w:rPr>
        <w:t>ssbFrequency</w:t>
      </w:r>
      <w:r w:rsidRPr="00005F93">
        <w:t xml:space="preserve">, one for MCG and another for SCG, the UE applies the DRX cycle of the CG that is associated with the measurement. </w:t>
      </w:r>
    </w:p>
    <w:p w14:paraId="653DE903" w14:textId="77777777" w:rsidR="00A810ED" w:rsidRDefault="00A810ED" w:rsidP="00A810ED">
      <w:pPr>
        <w:pStyle w:val="RAN4Observation"/>
      </w:pPr>
      <w:r>
        <w:t xml:space="preserve">When the UE receives two independent measurement configurations, one from MCG and one for the SCG, with measurement objects with the same </w:t>
      </w:r>
      <w:r w:rsidRPr="00A810ED">
        <w:rPr>
          <w:i/>
          <w:iCs/>
        </w:rPr>
        <w:t>ssbFrequency</w:t>
      </w:r>
      <w:r>
        <w:t xml:space="preserve">, the UE shall fulfil the requirements in both MCG and SCG. </w:t>
      </w:r>
    </w:p>
    <w:p w14:paraId="132116CD" w14:textId="77777777" w:rsidR="00A810ED" w:rsidRPr="00005F93" w:rsidRDefault="00A810ED" w:rsidP="00A810ED">
      <w:pPr>
        <w:pStyle w:val="RAN4Observation"/>
      </w:pPr>
      <w:r>
        <w:t>To fulfil the current minimum requirements, the UE must use the shortest DRX cycle of MCG and SCG, for the UE to ensure that the UE can fulfil the measurement requirements with a single physical measurement.</w:t>
      </w:r>
    </w:p>
    <w:p w14:paraId="7066DD2E" w14:textId="77777777" w:rsidR="00116674" w:rsidRDefault="00116674" w:rsidP="00116674">
      <w:pPr>
        <w:pStyle w:val="RAN4proposal"/>
        <w:numPr>
          <w:ilvl w:val="0"/>
          <w:numId w:val="25"/>
        </w:numPr>
      </w:pPr>
      <w:r>
        <w:t xml:space="preserve">For the case where the MCG and the SCG configure an inter-frequency or an inter-RAT measurement on a common </w:t>
      </w:r>
      <w:r w:rsidRPr="00116674">
        <w:rPr>
          <w:i/>
        </w:rPr>
        <w:t>ssbFrequency</w:t>
      </w:r>
      <w:r>
        <w:t>, no clarifications are needed.</w:t>
      </w:r>
    </w:p>
    <w:p w14:paraId="45B83E6E" w14:textId="0A456AA6" w:rsidR="00C15D3C" w:rsidRDefault="00C15D3C" w:rsidP="00C15D3C">
      <w:pPr>
        <w:pStyle w:val="RAN4observation0"/>
      </w:pPr>
      <w:r>
        <w:lastRenderedPageBreak/>
        <w:t>In order to fulfil current measurement requirements, if</w:t>
      </w:r>
      <w:r w:rsidRPr="003071B2">
        <w:t xml:space="preserve"> the UE has received two independent measurement configurations containing measurement objects with the same </w:t>
      </w:r>
      <w:r w:rsidRPr="00C15D3C">
        <w:rPr>
          <w:i/>
        </w:rPr>
        <w:t>ssbFrequency</w:t>
      </w:r>
      <w:r w:rsidRPr="003071B2">
        <w:t xml:space="preserve">, one for MCG and another for SCG, </w:t>
      </w:r>
      <w:r>
        <w:t xml:space="preserve">and the </w:t>
      </w:r>
      <w:r w:rsidRPr="00C15D3C">
        <w:rPr>
          <w:i/>
          <w:iCs/>
        </w:rPr>
        <w:t xml:space="preserve">ssbFrequency </w:t>
      </w:r>
      <w:r>
        <w:t>is the same as a serving cell carrier, in either MCG or SCG, the UE applies the DRX cycle of the CG that contains this serving cell.</w:t>
      </w:r>
    </w:p>
    <w:p w14:paraId="483FD2A9" w14:textId="77777777" w:rsidR="00C15D3C" w:rsidRPr="00C15D3C" w:rsidRDefault="00C15D3C" w:rsidP="00C15D3C">
      <w:pPr>
        <w:pStyle w:val="RAN4proposal"/>
        <w:numPr>
          <w:ilvl w:val="0"/>
          <w:numId w:val="25"/>
        </w:numPr>
        <w:rPr>
          <w:lang w:val="en-GB"/>
        </w:rPr>
      </w:pPr>
      <w:r w:rsidRPr="00C15D3C">
        <w:rPr>
          <w:lang w:val="en-GB"/>
        </w:rPr>
        <w:t>For the case in which an inter-frequency or an inter-RAT measurement is configured on a serving carrier, no clarifications are needed.</w:t>
      </w:r>
    </w:p>
    <w:p w14:paraId="23542CC8" w14:textId="77777777" w:rsidR="00A164FB" w:rsidRPr="00F45A5B" w:rsidRDefault="00A164FB" w:rsidP="001C4933">
      <w:pPr>
        <w:rPr>
          <w:lang w:val="en-GB"/>
        </w:rPr>
      </w:pPr>
    </w:p>
    <w:p w14:paraId="5A027C9D" w14:textId="77777777" w:rsidR="008231C4" w:rsidRPr="00040118" w:rsidRDefault="008231C4" w:rsidP="00512A1B">
      <w:pPr>
        <w:pStyle w:val="RAN4H1"/>
        <w:ind w:left="426" w:hanging="426"/>
        <w:rPr>
          <w:lang w:val="en-US"/>
        </w:rPr>
      </w:pPr>
      <w:r w:rsidRPr="00040118">
        <w:rPr>
          <w:lang w:val="en-US"/>
        </w:rPr>
        <w:t>References</w:t>
      </w:r>
    </w:p>
    <w:p w14:paraId="56EF4ADD" w14:textId="76A31813" w:rsidR="00BF7FCB" w:rsidRPr="00B212F6" w:rsidRDefault="002D55E5" w:rsidP="00BF7FCB">
      <w:pPr>
        <w:pStyle w:val="ListParagraph"/>
        <w:numPr>
          <w:ilvl w:val="0"/>
          <w:numId w:val="1"/>
        </w:numPr>
        <w:spacing w:after="120"/>
        <w:ind w:left="357" w:hanging="357"/>
        <w:contextualSpacing w:val="0"/>
        <w:rPr>
          <w:rFonts w:eastAsia="MS Mincho"/>
          <w:color w:val="000000" w:themeColor="text1"/>
          <w:lang w:eastAsia="ja-JP"/>
        </w:rPr>
      </w:pPr>
      <w:bookmarkStart w:id="5" w:name="_Ref87519479"/>
      <w:r w:rsidRPr="00040118">
        <w:rPr>
          <w:rFonts w:eastAsia="MS Mincho"/>
          <w:color w:val="000000" w:themeColor="text1"/>
          <w:lang w:eastAsia="ja-JP"/>
        </w:rPr>
        <w:t>R4-2119222 “</w:t>
      </w:r>
      <w:r w:rsidRPr="00B212F6">
        <w:rPr>
          <w:rFonts w:eastAsia="MS Mincho"/>
          <w:color w:val="000000" w:themeColor="text1"/>
          <w:lang w:eastAsia="ja-JP"/>
        </w:rPr>
        <w:t>CR on TS38.133 for applicable DRX cycle in NR-DC and NE-DC”</w:t>
      </w:r>
      <w:bookmarkEnd w:id="5"/>
    </w:p>
    <w:p w14:paraId="69DF7920" w14:textId="5A0E8195" w:rsidR="003C2C7B" w:rsidRPr="00040118" w:rsidRDefault="003C2C7B" w:rsidP="00BF7FCB">
      <w:pPr>
        <w:pStyle w:val="ListParagraph"/>
        <w:numPr>
          <w:ilvl w:val="0"/>
          <w:numId w:val="1"/>
        </w:numPr>
        <w:spacing w:after="120"/>
        <w:ind w:left="357" w:hanging="357"/>
        <w:contextualSpacing w:val="0"/>
        <w:rPr>
          <w:rFonts w:eastAsia="Times New Roman" w:cs="Times New Roman"/>
          <w:color w:val="000000" w:themeColor="text1"/>
          <w:szCs w:val="20"/>
        </w:rPr>
      </w:pPr>
      <w:bookmarkStart w:id="6" w:name="_Ref87873460"/>
      <w:r w:rsidRPr="00040118">
        <w:rPr>
          <w:rFonts w:eastAsia="MS Mincho"/>
          <w:color w:val="000000" w:themeColor="text1"/>
          <w:lang w:eastAsia="ja-JP"/>
        </w:rPr>
        <w:t>R4-2120241 “WF on Rel-15 NR RRM core requirements maintenance”</w:t>
      </w:r>
      <w:bookmarkEnd w:id="6"/>
    </w:p>
    <w:p w14:paraId="7BF153CD" w14:textId="4A97F7D3" w:rsidR="00835C1D" w:rsidRPr="00040118" w:rsidRDefault="00835C1D" w:rsidP="00F45A5B">
      <w:pPr>
        <w:pStyle w:val="ListParagraph"/>
        <w:spacing w:after="120"/>
        <w:ind w:left="357"/>
        <w:contextualSpacing w:val="0"/>
        <w:rPr>
          <w:rFonts w:eastAsia="Times New Roman" w:cs="Times New Roman"/>
          <w:color w:val="000000" w:themeColor="text1"/>
          <w:szCs w:val="20"/>
        </w:rPr>
      </w:pPr>
    </w:p>
    <w:sectPr w:rsidR="00835C1D" w:rsidRPr="00040118" w:rsidSect="00806A76">
      <w:footerReference w:type="default" r:id="rId1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4AFB9B" w14:textId="77777777" w:rsidR="002C47A6" w:rsidRDefault="002C47A6" w:rsidP="00001C9B">
      <w:pPr>
        <w:spacing w:after="0" w:line="240" w:lineRule="auto"/>
      </w:pPr>
      <w:r>
        <w:separator/>
      </w:r>
    </w:p>
  </w:endnote>
  <w:endnote w:type="continuationSeparator" w:id="0">
    <w:p w14:paraId="5A68A79C" w14:textId="77777777" w:rsidR="002C47A6" w:rsidRDefault="002C47A6" w:rsidP="00001C9B">
      <w:pPr>
        <w:spacing w:after="0" w:line="240" w:lineRule="auto"/>
      </w:pPr>
      <w:r>
        <w:continuationSeparator/>
      </w:r>
    </w:p>
  </w:endnote>
  <w:endnote w:type="continuationNotice" w:id="1">
    <w:p w14:paraId="331BE494" w14:textId="77777777" w:rsidR="002C47A6" w:rsidRDefault="002C47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167145"/>
      <w:docPartObj>
        <w:docPartGallery w:val="Page Numbers (Bottom of Page)"/>
        <w:docPartUnique/>
      </w:docPartObj>
    </w:sdtPr>
    <w:sdtEndPr>
      <w:rPr>
        <w:noProof/>
      </w:rPr>
    </w:sdtEndPr>
    <w:sdtContent>
      <w:p w14:paraId="35EF89C9" w14:textId="419540D2" w:rsidR="00F2706E" w:rsidRDefault="00F2706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452388D" w14:textId="77777777" w:rsidR="00F2706E" w:rsidRDefault="00F27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C7816" w14:textId="77777777" w:rsidR="002C47A6" w:rsidRDefault="002C47A6" w:rsidP="00001C9B">
      <w:pPr>
        <w:spacing w:after="0" w:line="240" w:lineRule="auto"/>
      </w:pPr>
      <w:r>
        <w:separator/>
      </w:r>
    </w:p>
  </w:footnote>
  <w:footnote w:type="continuationSeparator" w:id="0">
    <w:p w14:paraId="66EA04A0" w14:textId="77777777" w:rsidR="002C47A6" w:rsidRDefault="002C47A6" w:rsidP="00001C9B">
      <w:pPr>
        <w:spacing w:after="0" w:line="240" w:lineRule="auto"/>
      </w:pPr>
      <w:r>
        <w:continuationSeparator/>
      </w:r>
    </w:p>
  </w:footnote>
  <w:footnote w:type="continuationNotice" w:id="1">
    <w:p w14:paraId="0238E1FF" w14:textId="77777777" w:rsidR="002C47A6" w:rsidRDefault="002C47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22684"/>
    <w:multiLevelType w:val="hybridMultilevel"/>
    <w:tmpl w:val="06D4768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05A4163E"/>
    <w:multiLevelType w:val="hybridMultilevel"/>
    <w:tmpl w:val="389890D4"/>
    <w:lvl w:ilvl="0" w:tplc="81C03C9C">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6B43B9D"/>
    <w:multiLevelType w:val="hybridMultilevel"/>
    <w:tmpl w:val="3140C596"/>
    <w:lvl w:ilvl="0" w:tplc="8A1006C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83B378D"/>
    <w:multiLevelType w:val="hybridMultilevel"/>
    <w:tmpl w:val="436880C0"/>
    <w:lvl w:ilvl="0" w:tplc="333A9B4C">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690A9E"/>
    <w:multiLevelType w:val="hybridMultilevel"/>
    <w:tmpl w:val="D1AEBF40"/>
    <w:lvl w:ilvl="0" w:tplc="B93EF3C0">
      <w:start w:val="1"/>
      <w:numFmt w:val="decimal"/>
      <w:lvlText w:val="%1"/>
      <w:lvlJc w:val="left"/>
      <w:pPr>
        <w:ind w:left="1080" w:hanging="360"/>
      </w:pPr>
      <w:rPr>
        <w:rFonts w:ascii="Times New Roman" w:eastAsiaTheme="minorHAnsi" w:hAnsi="Times New Roman" w:cstheme="minorBidi"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4D6E3167"/>
    <w:multiLevelType w:val="hybridMultilevel"/>
    <w:tmpl w:val="063A4BB8"/>
    <w:lvl w:ilvl="0" w:tplc="6096DB90">
      <w:start w:val="1"/>
      <w:numFmt w:val="decimal"/>
      <w:pStyle w:val="RAN4proposal"/>
      <w:suff w:val="space"/>
      <w:lvlText w:val="Proposal %1:"/>
      <w:lvlJc w:val="left"/>
      <w:pPr>
        <w:ind w:left="98" w:hanging="360"/>
      </w:pPr>
      <w:rPr>
        <w:rFonts w:ascii="Times New Roman" w:hAnsi="Times New Roman" w:hint="default"/>
        <w:b/>
        <w:i w:val="0"/>
        <w:color w:val="auto"/>
        <w:sz w:val="20"/>
      </w:rPr>
    </w:lvl>
    <w:lvl w:ilvl="1" w:tplc="04090019" w:tentative="1">
      <w:start w:val="1"/>
      <w:numFmt w:val="lowerLetter"/>
      <w:lvlText w:val="%2."/>
      <w:lvlJc w:val="left"/>
      <w:pPr>
        <w:ind w:left="1669" w:hanging="360"/>
      </w:pPr>
    </w:lvl>
    <w:lvl w:ilvl="2" w:tplc="0409001B" w:tentative="1">
      <w:start w:val="1"/>
      <w:numFmt w:val="lowerRoman"/>
      <w:lvlText w:val="%3."/>
      <w:lvlJc w:val="right"/>
      <w:pPr>
        <w:ind w:left="2389" w:hanging="180"/>
      </w:pPr>
    </w:lvl>
    <w:lvl w:ilvl="3" w:tplc="0409000F" w:tentative="1">
      <w:start w:val="1"/>
      <w:numFmt w:val="decimal"/>
      <w:lvlText w:val="%4."/>
      <w:lvlJc w:val="left"/>
      <w:pPr>
        <w:ind w:left="3109" w:hanging="360"/>
      </w:pPr>
    </w:lvl>
    <w:lvl w:ilvl="4" w:tplc="04090019" w:tentative="1">
      <w:start w:val="1"/>
      <w:numFmt w:val="lowerLetter"/>
      <w:lvlText w:val="%5."/>
      <w:lvlJc w:val="left"/>
      <w:pPr>
        <w:ind w:left="3829" w:hanging="360"/>
      </w:pPr>
    </w:lvl>
    <w:lvl w:ilvl="5" w:tplc="0409001B" w:tentative="1">
      <w:start w:val="1"/>
      <w:numFmt w:val="lowerRoman"/>
      <w:lvlText w:val="%6."/>
      <w:lvlJc w:val="right"/>
      <w:pPr>
        <w:ind w:left="4549" w:hanging="180"/>
      </w:pPr>
    </w:lvl>
    <w:lvl w:ilvl="6" w:tplc="0409000F" w:tentative="1">
      <w:start w:val="1"/>
      <w:numFmt w:val="decimal"/>
      <w:lvlText w:val="%7."/>
      <w:lvlJc w:val="left"/>
      <w:pPr>
        <w:ind w:left="5269" w:hanging="360"/>
      </w:pPr>
    </w:lvl>
    <w:lvl w:ilvl="7" w:tplc="04090019" w:tentative="1">
      <w:start w:val="1"/>
      <w:numFmt w:val="lowerLetter"/>
      <w:lvlText w:val="%8."/>
      <w:lvlJc w:val="left"/>
      <w:pPr>
        <w:ind w:left="5989" w:hanging="360"/>
      </w:pPr>
    </w:lvl>
    <w:lvl w:ilvl="8" w:tplc="0409001B" w:tentative="1">
      <w:start w:val="1"/>
      <w:numFmt w:val="lowerRoman"/>
      <w:lvlText w:val="%9."/>
      <w:lvlJc w:val="right"/>
      <w:pPr>
        <w:ind w:left="6709" w:hanging="180"/>
      </w:pPr>
    </w:lvl>
  </w:abstractNum>
  <w:abstractNum w:abstractNumId="7" w15:restartNumberingAfterBreak="0">
    <w:nsid w:val="4DA44281"/>
    <w:multiLevelType w:val="hybridMultilevel"/>
    <w:tmpl w:val="47222F10"/>
    <w:lvl w:ilvl="0" w:tplc="F2F4FBDA">
      <w:start w:val="1"/>
      <w:numFmt w:val="decimal"/>
      <w:pStyle w:val="RAN4Proposal0"/>
      <w:lvlText w:val="Proposal %1:"/>
      <w:lvlJc w:val="left"/>
      <w:pPr>
        <w:ind w:left="9433"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8" w15:restartNumberingAfterBreak="0">
    <w:nsid w:val="523E58B4"/>
    <w:multiLevelType w:val="hybridMultilevel"/>
    <w:tmpl w:val="06D47684"/>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55AD2491"/>
    <w:multiLevelType w:val="multilevel"/>
    <w:tmpl w:val="3B660CC0"/>
    <w:lvl w:ilvl="0">
      <w:start w:val="1"/>
      <w:numFmt w:val="decimal"/>
      <w:lvlText w:val="%1"/>
      <w:lvlJc w:val="left"/>
      <w:pPr>
        <w:ind w:left="360" w:hanging="360"/>
      </w:pPr>
      <w:rPr>
        <w:rFonts w:hint="default"/>
        <w:color w:val="000000" w:themeColor="text1"/>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62CC788A"/>
    <w:multiLevelType w:val="hybridMultilevel"/>
    <w:tmpl w:val="092896B8"/>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65C217B"/>
    <w:multiLevelType w:val="multilevel"/>
    <w:tmpl w:val="EC12F228"/>
    <w:lvl w:ilvl="0">
      <w:start w:val="1"/>
      <w:numFmt w:val="decimal"/>
      <w:pStyle w:val="RAN4H1"/>
      <w:lvlText w:val="%1"/>
      <w:lvlJc w:val="left"/>
      <w:pPr>
        <w:ind w:left="502" w:hanging="360"/>
      </w:pPr>
      <w:rPr>
        <w:rFonts w:hint="default"/>
      </w:rPr>
    </w:lvl>
    <w:lvl w:ilvl="1">
      <w:start w:val="2"/>
      <w:numFmt w:val="decimal"/>
      <w:pStyle w:val="RAN4H2"/>
      <w:lvlText w:val="%1.%2"/>
      <w:lvlJc w:val="left"/>
      <w:pPr>
        <w:ind w:left="1850"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75807D2F"/>
    <w:multiLevelType w:val="multilevel"/>
    <w:tmpl w:val="9C00334A"/>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7"/>
  </w:num>
  <w:num w:numId="3">
    <w:abstractNumId w:val="3"/>
  </w:num>
  <w:num w:numId="4">
    <w:abstractNumId w:val="6"/>
  </w:num>
  <w:num w:numId="5">
    <w:abstractNumId w:val="11"/>
  </w:num>
  <w:num w:numId="6">
    <w:abstractNumId w:val="2"/>
  </w:num>
  <w:num w:numId="7">
    <w:abstractNumId w:val="9"/>
  </w:num>
  <w:num w:numId="8">
    <w:abstractNumId w:val="2"/>
  </w:num>
  <w:num w:numId="9">
    <w:abstractNumId w:val="7"/>
    <w:lvlOverride w:ilvl="0">
      <w:startOverride w:val="1"/>
    </w:lvlOverride>
  </w:num>
  <w:num w:numId="10">
    <w:abstractNumId w:val="4"/>
  </w:num>
  <w:num w:numId="11">
    <w:abstractNumId w:val="5"/>
  </w:num>
  <w:num w:numId="12">
    <w:abstractNumId w:val="13"/>
  </w:num>
  <w:num w:numId="1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num>
  <w:num w:numId="15">
    <w:abstractNumId w:val="12"/>
  </w:num>
  <w:num w:numId="16">
    <w:abstractNumId w:val="10"/>
  </w:num>
  <w:num w:numId="17">
    <w:abstractNumId w:val="10"/>
  </w:num>
  <w:num w:numId="18">
    <w:abstractNumId w:val="6"/>
    <w:lvlOverride w:ilvl="0">
      <w:startOverride w:val="1"/>
    </w:lvlOverride>
  </w:num>
  <w:num w:numId="19">
    <w:abstractNumId w:val="6"/>
  </w:num>
  <w:num w:numId="20">
    <w:abstractNumId w:val="3"/>
    <w:lvlOverride w:ilvl="0">
      <w:startOverride w:val="1"/>
    </w:lvlOverride>
  </w:num>
  <w:num w:numId="21">
    <w:abstractNumId w:val="0"/>
  </w:num>
  <w:num w:numId="22">
    <w:abstractNumId w:val="8"/>
  </w:num>
  <w:num w:numId="23">
    <w:abstractNumId w:val="3"/>
  </w:num>
  <w:num w:numId="24">
    <w:abstractNumId w:val="3"/>
    <w:lvlOverride w:ilvl="0">
      <w:startOverride w:val="1"/>
    </w:lvlOverride>
  </w:num>
  <w:num w:numId="25">
    <w:abstractNumId w:val="6"/>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0BA"/>
    <w:rsid w:val="00004428"/>
    <w:rsid w:val="00005F93"/>
    <w:rsid w:val="00006AE6"/>
    <w:rsid w:val="00007A33"/>
    <w:rsid w:val="0001498E"/>
    <w:rsid w:val="00023724"/>
    <w:rsid w:val="00025ECE"/>
    <w:rsid w:val="00030DF1"/>
    <w:rsid w:val="00031DF5"/>
    <w:rsid w:val="00034A70"/>
    <w:rsid w:val="00040118"/>
    <w:rsid w:val="00042D27"/>
    <w:rsid w:val="00045978"/>
    <w:rsid w:val="000459D0"/>
    <w:rsid w:val="0004687F"/>
    <w:rsid w:val="00053478"/>
    <w:rsid w:val="000572FE"/>
    <w:rsid w:val="000617AB"/>
    <w:rsid w:val="00062CF3"/>
    <w:rsid w:val="000638A1"/>
    <w:rsid w:val="00075824"/>
    <w:rsid w:val="00080582"/>
    <w:rsid w:val="00084BA3"/>
    <w:rsid w:val="0008612A"/>
    <w:rsid w:val="000874E9"/>
    <w:rsid w:val="00091655"/>
    <w:rsid w:val="000A6BD1"/>
    <w:rsid w:val="000B0056"/>
    <w:rsid w:val="000B3D00"/>
    <w:rsid w:val="000B5A59"/>
    <w:rsid w:val="000C266A"/>
    <w:rsid w:val="000C42ED"/>
    <w:rsid w:val="000D7A43"/>
    <w:rsid w:val="000E0B6B"/>
    <w:rsid w:val="000F2046"/>
    <w:rsid w:val="000F2D79"/>
    <w:rsid w:val="000F478D"/>
    <w:rsid w:val="001013AF"/>
    <w:rsid w:val="001023C8"/>
    <w:rsid w:val="0010349B"/>
    <w:rsid w:val="001038F8"/>
    <w:rsid w:val="001062CE"/>
    <w:rsid w:val="00112E38"/>
    <w:rsid w:val="00116674"/>
    <w:rsid w:val="001378B3"/>
    <w:rsid w:val="00142634"/>
    <w:rsid w:val="00147A84"/>
    <w:rsid w:val="00156999"/>
    <w:rsid w:val="0016147B"/>
    <w:rsid w:val="00161971"/>
    <w:rsid w:val="001639F7"/>
    <w:rsid w:val="001669DD"/>
    <w:rsid w:val="00172244"/>
    <w:rsid w:val="001745F8"/>
    <w:rsid w:val="00175157"/>
    <w:rsid w:val="00176671"/>
    <w:rsid w:val="0018224F"/>
    <w:rsid w:val="001838CF"/>
    <w:rsid w:val="00183BFF"/>
    <w:rsid w:val="001854FC"/>
    <w:rsid w:val="00185B8D"/>
    <w:rsid w:val="001A0220"/>
    <w:rsid w:val="001A414D"/>
    <w:rsid w:val="001B04A2"/>
    <w:rsid w:val="001B3F6C"/>
    <w:rsid w:val="001C1168"/>
    <w:rsid w:val="001C17DD"/>
    <w:rsid w:val="001C2F6D"/>
    <w:rsid w:val="001C396C"/>
    <w:rsid w:val="001C4037"/>
    <w:rsid w:val="001C4933"/>
    <w:rsid w:val="001D2F63"/>
    <w:rsid w:val="001D388C"/>
    <w:rsid w:val="001D5B59"/>
    <w:rsid w:val="001E30F6"/>
    <w:rsid w:val="001E4134"/>
    <w:rsid w:val="001E53C7"/>
    <w:rsid w:val="001F2163"/>
    <w:rsid w:val="00201528"/>
    <w:rsid w:val="00202294"/>
    <w:rsid w:val="0020309E"/>
    <w:rsid w:val="00203B60"/>
    <w:rsid w:val="00210121"/>
    <w:rsid w:val="00213F01"/>
    <w:rsid w:val="002142CD"/>
    <w:rsid w:val="002168F0"/>
    <w:rsid w:val="00231014"/>
    <w:rsid w:val="002336B9"/>
    <w:rsid w:val="002342B3"/>
    <w:rsid w:val="002356C0"/>
    <w:rsid w:val="00235F5C"/>
    <w:rsid w:val="002416BB"/>
    <w:rsid w:val="002573B5"/>
    <w:rsid w:val="00261D6F"/>
    <w:rsid w:val="00270159"/>
    <w:rsid w:val="0027038C"/>
    <w:rsid w:val="00272FE4"/>
    <w:rsid w:val="00280D2A"/>
    <w:rsid w:val="00282298"/>
    <w:rsid w:val="00286B76"/>
    <w:rsid w:val="0029238A"/>
    <w:rsid w:val="00292548"/>
    <w:rsid w:val="002943F4"/>
    <w:rsid w:val="00295A66"/>
    <w:rsid w:val="002A0DEC"/>
    <w:rsid w:val="002A15CC"/>
    <w:rsid w:val="002A1D98"/>
    <w:rsid w:val="002A4E9B"/>
    <w:rsid w:val="002B168F"/>
    <w:rsid w:val="002B3423"/>
    <w:rsid w:val="002B45AC"/>
    <w:rsid w:val="002B4922"/>
    <w:rsid w:val="002C1837"/>
    <w:rsid w:val="002C2D19"/>
    <w:rsid w:val="002C2D5A"/>
    <w:rsid w:val="002C376F"/>
    <w:rsid w:val="002C47A6"/>
    <w:rsid w:val="002D1080"/>
    <w:rsid w:val="002D10FA"/>
    <w:rsid w:val="002D4C55"/>
    <w:rsid w:val="002D55E5"/>
    <w:rsid w:val="002E0629"/>
    <w:rsid w:val="002E2420"/>
    <w:rsid w:val="002E2FDF"/>
    <w:rsid w:val="002F0622"/>
    <w:rsid w:val="002F0834"/>
    <w:rsid w:val="0030156F"/>
    <w:rsid w:val="00302745"/>
    <w:rsid w:val="00302991"/>
    <w:rsid w:val="00303554"/>
    <w:rsid w:val="00304BFF"/>
    <w:rsid w:val="00306287"/>
    <w:rsid w:val="00307914"/>
    <w:rsid w:val="003109DF"/>
    <w:rsid w:val="00312760"/>
    <w:rsid w:val="00314967"/>
    <w:rsid w:val="00316E21"/>
    <w:rsid w:val="00317C8B"/>
    <w:rsid w:val="00322CC8"/>
    <w:rsid w:val="00326218"/>
    <w:rsid w:val="00332485"/>
    <w:rsid w:val="003339B2"/>
    <w:rsid w:val="0033542F"/>
    <w:rsid w:val="00336FBE"/>
    <w:rsid w:val="00341380"/>
    <w:rsid w:val="00341781"/>
    <w:rsid w:val="00341E39"/>
    <w:rsid w:val="00351CB5"/>
    <w:rsid w:val="00353C37"/>
    <w:rsid w:val="00355535"/>
    <w:rsid w:val="00370FAE"/>
    <w:rsid w:val="0037172E"/>
    <w:rsid w:val="00374A9F"/>
    <w:rsid w:val="003809BD"/>
    <w:rsid w:val="00384B0C"/>
    <w:rsid w:val="003A1FAC"/>
    <w:rsid w:val="003A6C69"/>
    <w:rsid w:val="003A783E"/>
    <w:rsid w:val="003A7993"/>
    <w:rsid w:val="003B636A"/>
    <w:rsid w:val="003B659E"/>
    <w:rsid w:val="003C2C7B"/>
    <w:rsid w:val="003C5A4D"/>
    <w:rsid w:val="003C7452"/>
    <w:rsid w:val="003C78BD"/>
    <w:rsid w:val="003D1FD3"/>
    <w:rsid w:val="003D57DC"/>
    <w:rsid w:val="003E0F91"/>
    <w:rsid w:val="003E7F01"/>
    <w:rsid w:val="003F2C39"/>
    <w:rsid w:val="003F71E7"/>
    <w:rsid w:val="00402149"/>
    <w:rsid w:val="00404A7B"/>
    <w:rsid w:val="0040531F"/>
    <w:rsid w:val="00411250"/>
    <w:rsid w:val="004148C3"/>
    <w:rsid w:val="00417AA0"/>
    <w:rsid w:val="00417C09"/>
    <w:rsid w:val="004226D8"/>
    <w:rsid w:val="00424BF7"/>
    <w:rsid w:val="00433683"/>
    <w:rsid w:val="00434D52"/>
    <w:rsid w:val="0043750A"/>
    <w:rsid w:val="00443FE2"/>
    <w:rsid w:val="004459D1"/>
    <w:rsid w:val="00452189"/>
    <w:rsid w:val="00452529"/>
    <w:rsid w:val="0046277A"/>
    <w:rsid w:val="004714E1"/>
    <w:rsid w:val="00480EBB"/>
    <w:rsid w:val="00487CA3"/>
    <w:rsid w:val="00487EFE"/>
    <w:rsid w:val="0049229C"/>
    <w:rsid w:val="00492F8C"/>
    <w:rsid w:val="00494965"/>
    <w:rsid w:val="004A3507"/>
    <w:rsid w:val="004A4B45"/>
    <w:rsid w:val="004A4C51"/>
    <w:rsid w:val="004A67E0"/>
    <w:rsid w:val="004B7B4A"/>
    <w:rsid w:val="004C374E"/>
    <w:rsid w:val="004D63FC"/>
    <w:rsid w:val="004E006D"/>
    <w:rsid w:val="004E09F7"/>
    <w:rsid w:val="004E10C1"/>
    <w:rsid w:val="004E5E66"/>
    <w:rsid w:val="004F0F9F"/>
    <w:rsid w:val="004F35BC"/>
    <w:rsid w:val="004F378E"/>
    <w:rsid w:val="00500579"/>
    <w:rsid w:val="00500A48"/>
    <w:rsid w:val="00502F35"/>
    <w:rsid w:val="00503B4D"/>
    <w:rsid w:val="00503E7F"/>
    <w:rsid w:val="00504EE9"/>
    <w:rsid w:val="00506596"/>
    <w:rsid w:val="00506CEB"/>
    <w:rsid w:val="00512A1B"/>
    <w:rsid w:val="00512F0D"/>
    <w:rsid w:val="0051606A"/>
    <w:rsid w:val="00522C3B"/>
    <w:rsid w:val="005233BA"/>
    <w:rsid w:val="00530E14"/>
    <w:rsid w:val="00532137"/>
    <w:rsid w:val="0054442C"/>
    <w:rsid w:val="00544788"/>
    <w:rsid w:val="00547F6D"/>
    <w:rsid w:val="0055022F"/>
    <w:rsid w:val="00550285"/>
    <w:rsid w:val="00550B23"/>
    <w:rsid w:val="00553849"/>
    <w:rsid w:val="005615F8"/>
    <w:rsid w:val="0056679D"/>
    <w:rsid w:val="00572ACB"/>
    <w:rsid w:val="00574B62"/>
    <w:rsid w:val="005836F8"/>
    <w:rsid w:val="0058499C"/>
    <w:rsid w:val="005909D8"/>
    <w:rsid w:val="005918FA"/>
    <w:rsid w:val="00596427"/>
    <w:rsid w:val="00597A91"/>
    <w:rsid w:val="005A5248"/>
    <w:rsid w:val="005A6BB5"/>
    <w:rsid w:val="005B03F9"/>
    <w:rsid w:val="005C240E"/>
    <w:rsid w:val="005D35D2"/>
    <w:rsid w:val="005D4B8B"/>
    <w:rsid w:val="005D4F5B"/>
    <w:rsid w:val="005E61A8"/>
    <w:rsid w:val="005F6419"/>
    <w:rsid w:val="00601F6C"/>
    <w:rsid w:val="00607D3B"/>
    <w:rsid w:val="00617400"/>
    <w:rsid w:val="00617ECE"/>
    <w:rsid w:val="006203C3"/>
    <w:rsid w:val="00625C4E"/>
    <w:rsid w:val="00630672"/>
    <w:rsid w:val="00641F4F"/>
    <w:rsid w:val="00643C03"/>
    <w:rsid w:val="00650D75"/>
    <w:rsid w:val="006523F4"/>
    <w:rsid w:val="00652A49"/>
    <w:rsid w:val="006539E2"/>
    <w:rsid w:val="0065745C"/>
    <w:rsid w:val="00660C7C"/>
    <w:rsid w:val="00664950"/>
    <w:rsid w:val="00670C32"/>
    <w:rsid w:val="00671410"/>
    <w:rsid w:val="00676749"/>
    <w:rsid w:val="006771EB"/>
    <w:rsid w:val="00677542"/>
    <w:rsid w:val="006801E6"/>
    <w:rsid w:val="00683220"/>
    <w:rsid w:val="00687FA0"/>
    <w:rsid w:val="00690E30"/>
    <w:rsid w:val="0069305F"/>
    <w:rsid w:val="0069348D"/>
    <w:rsid w:val="006A05A0"/>
    <w:rsid w:val="006A27E0"/>
    <w:rsid w:val="006A4B3B"/>
    <w:rsid w:val="006B0E5A"/>
    <w:rsid w:val="006B7010"/>
    <w:rsid w:val="006B7935"/>
    <w:rsid w:val="006B7EE8"/>
    <w:rsid w:val="006C0286"/>
    <w:rsid w:val="006C4561"/>
    <w:rsid w:val="006C4E75"/>
    <w:rsid w:val="006D3C2D"/>
    <w:rsid w:val="006E1D00"/>
    <w:rsid w:val="006E2F2E"/>
    <w:rsid w:val="006E4165"/>
    <w:rsid w:val="006E44A0"/>
    <w:rsid w:val="006E76A6"/>
    <w:rsid w:val="006F1A77"/>
    <w:rsid w:val="006F28AC"/>
    <w:rsid w:val="00702310"/>
    <w:rsid w:val="00707969"/>
    <w:rsid w:val="00707F4E"/>
    <w:rsid w:val="00712055"/>
    <w:rsid w:val="007145FF"/>
    <w:rsid w:val="007249FD"/>
    <w:rsid w:val="007324DA"/>
    <w:rsid w:val="0073472E"/>
    <w:rsid w:val="00735E10"/>
    <w:rsid w:val="00736F45"/>
    <w:rsid w:val="007428C7"/>
    <w:rsid w:val="00742ACC"/>
    <w:rsid w:val="00743096"/>
    <w:rsid w:val="0075033C"/>
    <w:rsid w:val="00750509"/>
    <w:rsid w:val="00751515"/>
    <w:rsid w:val="00752213"/>
    <w:rsid w:val="00756663"/>
    <w:rsid w:val="007609C1"/>
    <w:rsid w:val="007657EE"/>
    <w:rsid w:val="00766503"/>
    <w:rsid w:val="0077687B"/>
    <w:rsid w:val="007769D2"/>
    <w:rsid w:val="00782B4F"/>
    <w:rsid w:val="00784063"/>
    <w:rsid w:val="00785232"/>
    <w:rsid w:val="007864E4"/>
    <w:rsid w:val="00793C67"/>
    <w:rsid w:val="007A0F79"/>
    <w:rsid w:val="007A106B"/>
    <w:rsid w:val="007B0928"/>
    <w:rsid w:val="007B4107"/>
    <w:rsid w:val="007C06EF"/>
    <w:rsid w:val="007C312C"/>
    <w:rsid w:val="007C3C38"/>
    <w:rsid w:val="007C3ED0"/>
    <w:rsid w:val="007C63EB"/>
    <w:rsid w:val="007C6E2B"/>
    <w:rsid w:val="007D1762"/>
    <w:rsid w:val="007D2021"/>
    <w:rsid w:val="007D474F"/>
    <w:rsid w:val="007E027C"/>
    <w:rsid w:val="007E26F6"/>
    <w:rsid w:val="007E448E"/>
    <w:rsid w:val="007E615C"/>
    <w:rsid w:val="007F1B54"/>
    <w:rsid w:val="007F4295"/>
    <w:rsid w:val="008023C1"/>
    <w:rsid w:val="0080474E"/>
    <w:rsid w:val="008050F6"/>
    <w:rsid w:val="00806A76"/>
    <w:rsid w:val="0080749D"/>
    <w:rsid w:val="00810316"/>
    <w:rsid w:val="00811C9D"/>
    <w:rsid w:val="00816C80"/>
    <w:rsid w:val="00817C1D"/>
    <w:rsid w:val="008231C4"/>
    <w:rsid w:val="00824561"/>
    <w:rsid w:val="00824E9E"/>
    <w:rsid w:val="00827822"/>
    <w:rsid w:val="00830BD1"/>
    <w:rsid w:val="00831F79"/>
    <w:rsid w:val="0083294E"/>
    <w:rsid w:val="008337E2"/>
    <w:rsid w:val="00835C1D"/>
    <w:rsid w:val="00840B40"/>
    <w:rsid w:val="00841BCD"/>
    <w:rsid w:val="008442FE"/>
    <w:rsid w:val="0084501B"/>
    <w:rsid w:val="008468A7"/>
    <w:rsid w:val="00847D8A"/>
    <w:rsid w:val="008520AF"/>
    <w:rsid w:val="00863E0C"/>
    <w:rsid w:val="008704CB"/>
    <w:rsid w:val="008746B2"/>
    <w:rsid w:val="008826C1"/>
    <w:rsid w:val="00886A33"/>
    <w:rsid w:val="0088754B"/>
    <w:rsid w:val="008A506A"/>
    <w:rsid w:val="008B58A8"/>
    <w:rsid w:val="008D0FE4"/>
    <w:rsid w:val="008D3111"/>
    <w:rsid w:val="008D785F"/>
    <w:rsid w:val="008E0659"/>
    <w:rsid w:val="008F046D"/>
    <w:rsid w:val="008F0762"/>
    <w:rsid w:val="008F1B38"/>
    <w:rsid w:val="008F41AE"/>
    <w:rsid w:val="008F4FFA"/>
    <w:rsid w:val="008F53E0"/>
    <w:rsid w:val="00901B16"/>
    <w:rsid w:val="00902291"/>
    <w:rsid w:val="009027D3"/>
    <w:rsid w:val="009042BD"/>
    <w:rsid w:val="00911E7F"/>
    <w:rsid w:val="00915D64"/>
    <w:rsid w:val="00916CCC"/>
    <w:rsid w:val="00920168"/>
    <w:rsid w:val="009273BA"/>
    <w:rsid w:val="00941D02"/>
    <w:rsid w:val="00942E0D"/>
    <w:rsid w:val="00943675"/>
    <w:rsid w:val="009463C7"/>
    <w:rsid w:val="009475B6"/>
    <w:rsid w:val="0095560C"/>
    <w:rsid w:val="00956095"/>
    <w:rsid w:val="00956D22"/>
    <w:rsid w:val="00965E1F"/>
    <w:rsid w:val="00967205"/>
    <w:rsid w:val="00971BC7"/>
    <w:rsid w:val="00972E8A"/>
    <w:rsid w:val="009730A0"/>
    <w:rsid w:val="0097600C"/>
    <w:rsid w:val="00976ABD"/>
    <w:rsid w:val="00977E1D"/>
    <w:rsid w:val="00984265"/>
    <w:rsid w:val="0098494A"/>
    <w:rsid w:val="00986AF0"/>
    <w:rsid w:val="00987C99"/>
    <w:rsid w:val="00992706"/>
    <w:rsid w:val="00992794"/>
    <w:rsid w:val="009933DB"/>
    <w:rsid w:val="00995CDA"/>
    <w:rsid w:val="009A16C3"/>
    <w:rsid w:val="009A7CB1"/>
    <w:rsid w:val="009B6162"/>
    <w:rsid w:val="009C4BE2"/>
    <w:rsid w:val="009C7DA8"/>
    <w:rsid w:val="009E2FE5"/>
    <w:rsid w:val="009F134B"/>
    <w:rsid w:val="009F16C4"/>
    <w:rsid w:val="009F5958"/>
    <w:rsid w:val="009F5F69"/>
    <w:rsid w:val="00A04EE6"/>
    <w:rsid w:val="00A10D80"/>
    <w:rsid w:val="00A1194A"/>
    <w:rsid w:val="00A12A9E"/>
    <w:rsid w:val="00A15183"/>
    <w:rsid w:val="00A164FB"/>
    <w:rsid w:val="00A168A9"/>
    <w:rsid w:val="00A20AD2"/>
    <w:rsid w:val="00A22B78"/>
    <w:rsid w:val="00A24290"/>
    <w:rsid w:val="00A25AE5"/>
    <w:rsid w:val="00A27300"/>
    <w:rsid w:val="00A318E2"/>
    <w:rsid w:val="00A329FE"/>
    <w:rsid w:val="00A35C49"/>
    <w:rsid w:val="00A37002"/>
    <w:rsid w:val="00A507F7"/>
    <w:rsid w:val="00A5311A"/>
    <w:rsid w:val="00A618FC"/>
    <w:rsid w:val="00A7043C"/>
    <w:rsid w:val="00A71F31"/>
    <w:rsid w:val="00A7751D"/>
    <w:rsid w:val="00A810ED"/>
    <w:rsid w:val="00A839E0"/>
    <w:rsid w:val="00A92664"/>
    <w:rsid w:val="00AA1B0E"/>
    <w:rsid w:val="00AA3997"/>
    <w:rsid w:val="00AB01C6"/>
    <w:rsid w:val="00AB06D5"/>
    <w:rsid w:val="00AB2016"/>
    <w:rsid w:val="00AC2204"/>
    <w:rsid w:val="00AC2955"/>
    <w:rsid w:val="00AC4ABE"/>
    <w:rsid w:val="00AC58B3"/>
    <w:rsid w:val="00AC5CA7"/>
    <w:rsid w:val="00AD4EA8"/>
    <w:rsid w:val="00AD6560"/>
    <w:rsid w:val="00AE1F53"/>
    <w:rsid w:val="00AE56B1"/>
    <w:rsid w:val="00AE591F"/>
    <w:rsid w:val="00AE765C"/>
    <w:rsid w:val="00AF1751"/>
    <w:rsid w:val="00B03C53"/>
    <w:rsid w:val="00B05253"/>
    <w:rsid w:val="00B12757"/>
    <w:rsid w:val="00B20B2E"/>
    <w:rsid w:val="00B212F6"/>
    <w:rsid w:val="00B2304E"/>
    <w:rsid w:val="00B231C1"/>
    <w:rsid w:val="00B262D6"/>
    <w:rsid w:val="00B2645D"/>
    <w:rsid w:val="00B30E3A"/>
    <w:rsid w:val="00B419A4"/>
    <w:rsid w:val="00B4217C"/>
    <w:rsid w:val="00B50831"/>
    <w:rsid w:val="00B523AC"/>
    <w:rsid w:val="00B60F71"/>
    <w:rsid w:val="00B61DE0"/>
    <w:rsid w:val="00B62B9C"/>
    <w:rsid w:val="00B652A9"/>
    <w:rsid w:val="00B66A28"/>
    <w:rsid w:val="00B7098C"/>
    <w:rsid w:val="00B73862"/>
    <w:rsid w:val="00B802D7"/>
    <w:rsid w:val="00B8273E"/>
    <w:rsid w:val="00B8281A"/>
    <w:rsid w:val="00B87FCC"/>
    <w:rsid w:val="00B91129"/>
    <w:rsid w:val="00B936CA"/>
    <w:rsid w:val="00BA080C"/>
    <w:rsid w:val="00BA3903"/>
    <w:rsid w:val="00BA49C7"/>
    <w:rsid w:val="00BA6E48"/>
    <w:rsid w:val="00BA724E"/>
    <w:rsid w:val="00BB3A1B"/>
    <w:rsid w:val="00BC3D24"/>
    <w:rsid w:val="00BD2527"/>
    <w:rsid w:val="00BD4241"/>
    <w:rsid w:val="00BD6823"/>
    <w:rsid w:val="00BE119A"/>
    <w:rsid w:val="00BE4EE4"/>
    <w:rsid w:val="00BF174E"/>
    <w:rsid w:val="00BF2218"/>
    <w:rsid w:val="00BF7FCB"/>
    <w:rsid w:val="00C00654"/>
    <w:rsid w:val="00C00812"/>
    <w:rsid w:val="00C05949"/>
    <w:rsid w:val="00C06064"/>
    <w:rsid w:val="00C1194F"/>
    <w:rsid w:val="00C130C2"/>
    <w:rsid w:val="00C150C5"/>
    <w:rsid w:val="00C15D3C"/>
    <w:rsid w:val="00C2111B"/>
    <w:rsid w:val="00C27C64"/>
    <w:rsid w:val="00C319E0"/>
    <w:rsid w:val="00C34B6A"/>
    <w:rsid w:val="00C358A3"/>
    <w:rsid w:val="00C44454"/>
    <w:rsid w:val="00C562E9"/>
    <w:rsid w:val="00C56E82"/>
    <w:rsid w:val="00C578B5"/>
    <w:rsid w:val="00C65BD9"/>
    <w:rsid w:val="00C6725F"/>
    <w:rsid w:val="00C71539"/>
    <w:rsid w:val="00C81239"/>
    <w:rsid w:val="00C82952"/>
    <w:rsid w:val="00C82A72"/>
    <w:rsid w:val="00C85200"/>
    <w:rsid w:val="00C91DD0"/>
    <w:rsid w:val="00C931A1"/>
    <w:rsid w:val="00C96209"/>
    <w:rsid w:val="00CA2490"/>
    <w:rsid w:val="00CA424C"/>
    <w:rsid w:val="00CB65AC"/>
    <w:rsid w:val="00CB74D8"/>
    <w:rsid w:val="00CC1B40"/>
    <w:rsid w:val="00CC27A9"/>
    <w:rsid w:val="00CC30BC"/>
    <w:rsid w:val="00CC7CF8"/>
    <w:rsid w:val="00CD3689"/>
    <w:rsid w:val="00CD4622"/>
    <w:rsid w:val="00CD7492"/>
    <w:rsid w:val="00CE0D26"/>
    <w:rsid w:val="00CE3A6B"/>
    <w:rsid w:val="00CF25E3"/>
    <w:rsid w:val="00CF3579"/>
    <w:rsid w:val="00CF3B6A"/>
    <w:rsid w:val="00D00211"/>
    <w:rsid w:val="00D03503"/>
    <w:rsid w:val="00D05A22"/>
    <w:rsid w:val="00D06309"/>
    <w:rsid w:val="00D11B5C"/>
    <w:rsid w:val="00D137DF"/>
    <w:rsid w:val="00D14F63"/>
    <w:rsid w:val="00D15020"/>
    <w:rsid w:val="00D15BD4"/>
    <w:rsid w:val="00D202D2"/>
    <w:rsid w:val="00D20C4F"/>
    <w:rsid w:val="00D20D45"/>
    <w:rsid w:val="00D23D97"/>
    <w:rsid w:val="00D30C32"/>
    <w:rsid w:val="00D351EA"/>
    <w:rsid w:val="00D3544F"/>
    <w:rsid w:val="00D358A6"/>
    <w:rsid w:val="00D37653"/>
    <w:rsid w:val="00D43403"/>
    <w:rsid w:val="00D44E65"/>
    <w:rsid w:val="00D571FF"/>
    <w:rsid w:val="00D57DA9"/>
    <w:rsid w:val="00D62E71"/>
    <w:rsid w:val="00D700C2"/>
    <w:rsid w:val="00D740CA"/>
    <w:rsid w:val="00D75E80"/>
    <w:rsid w:val="00D76E34"/>
    <w:rsid w:val="00D8164F"/>
    <w:rsid w:val="00D85728"/>
    <w:rsid w:val="00DA172F"/>
    <w:rsid w:val="00DA73C3"/>
    <w:rsid w:val="00DB1FED"/>
    <w:rsid w:val="00DB32BB"/>
    <w:rsid w:val="00DB472E"/>
    <w:rsid w:val="00DB4870"/>
    <w:rsid w:val="00DB63B0"/>
    <w:rsid w:val="00DC1037"/>
    <w:rsid w:val="00DC1AEA"/>
    <w:rsid w:val="00DC734C"/>
    <w:rsid w:val="00DC7D81"/>
    <w:rsid w:val="00DD01F2"/>
    <w:rsid w:val="00DD093F"/>
    <w:rsid w:val="00DD4646"/>
    <w:rsid w:val="00DD555A"/>
    <w:rsid w:val="00DE037B"/>
    <w:rsid w:val="00DE3490"/>
    <w:rsid w:val="00DE38D7"/>
    <w:rsid w:val="00DE45FE"/>
    <w:rsid w:val="00DF2997"/>
    <w:rsid w:val="00DF4B88"/>
    <w:rsid w:val="00E01C62"/>
    <w:rsid w:val="00E01DA7"/>
    <w:rsid w:val="00E02E87"/>
    <w:rsid w:val="00E03F5C"/>
    <w:rsid w:val="00E04AFF"/>
    <w:rsid w:val="00E04E02"/>
    <w:rsid w:val="00E04F17"/>
    <w:rsid w:val="00E142D9"/>
    <w:rsid w:val="00E14550"/>
    <w:rsid w:val="00E17D9C"/>
    <w:rsid w:val="00E34DFE"/>
    <w:rsid w:val="00E36DD7"/>
    <w:rsid w:val="00E36E61"/>
    <w:rsid w:val="00E45449"/>
    <w:rsid w:val="00E45F81"/>
    <w:rsid w:val="00E46DD6"/>
    <w:rsid w:val="00E51380"/>
    <w:rsid w:val="00E51440"/>
    <w:rsid w:val="00E51596"/>
    <w:rsid w:val="00E54D33"/>
    <w:rsid w:val="00E75C45"/>
    <w:rsid w:val="00E95620"/>
    <w:rsid w:val="00EA335F"/>
    <w:rsid w:val="00EB224F"/>
    <w:rsid w:val="00EB58F0"/>
    <w:rsid w:val="00EC6D5A"/>
    <w:rsid w:val="00EC70C2"/>
    <w:rsid w:val="00EC7BC3"/>
    <w:rsid w:val="00ED7599"/>
    <w:rsid w:val="00ED7600"/>
    <w:rsid w:val="00EE3F09"/>
    <w:rsid w:val="00EF2A70"/>
    <w:rsid w:val="00EF2A9D"/>
    <w:rsid w:val="00EF32C7"/>
    <w:rsid w:val="00EF760B"/>
    <w:rsid w:val="00EF796C"/>
    <w:rsid w:val="00EF7A08"/>
    <w:rsid w:val="00F04673"/>
    <w:rsid w:val="00F1362C"/>
    <w:rsid w:val="00F231E7"/>
    <w:rsid w:val="00F25A05"/>
    <w:rsid w:val="00F261F2"/>
    <w:rsid w:val="00F26E26"/>
    <w:rsid w:val="00F2706E"/>
    <w:rsid w:val="00F35692"/>
    <w:rsid w:val="00F45A5B"/>
    <w:rsid w:val="00F461AC"/>
    <w:rsid w:val="00F472F6"/>
    <w:rsid w:val="00F47434"/>
    <w:rsid w:val="00F5238D"/>
    <w:rsid w:val="00F52B50"/>
    <w:rsid w:val="00F5413C"/>
    <w:rsid w:val="00F65BBF"/>
    <w:rsid w:val="00F7153D"/>
    <w:rsid w:val="00F71626"/>
    <w:rsid w:val="00F73A2E"/>
    <w:rsid w:val="00F8100A"/>
    <w:rsid w:val="00F824F5"/>
    <w:rsid w:val="00F845F2"/>
    <w:rsid w:val="00F85046"/>
    <w:rsid w:val="00F86185"/>
    <w:rsid w:val="00F873FE"/>
    <w:rsid w:val="00F92BF4"/>
    <w:rsid w:val="00F96B36"/>
    <w:rsid w:val="00FB0732"/>
    <w:rsid w:val="00FC29B9"/>
    <w:rsid w:val="00FC6FD3"/>
    <w:rsid w:val="00FD4155"/>
    <w:rsid w:val="00FD6130"/>
    <w:rsid w:val="00FD646E"/>
    <w:rsid w:val="00FE14B0"/>
    <w:rsid w:val="00FE172E"/>
    <w:rsid w:val="00FE6BAA"/>
    <w:rsid w:val="00FE6C1F"/>
    <w:rsid w:val="00FF2E20"/>
    <w:rsid w:val="00FF5E71"/>
    <w:rsid w:val="00FF6EFB"/>
    <w:rsid w:val="00FF71AD"/>
    <w:rsid w:val="00FF78E1"/>
    <w:rsid w:val="02E8A104"/>
    <w:rsid w:val="0CE344C9"/>
    <w:rsid w:val="101A4E13"/>
    <w:rsid w:val="12066685"/>
    <w:rsid w:val="15263B1D"/>
    <w:rsid w:val="1F4EBEA2"/>
    <w:rsid w:val="22ED02B3"/>
    <w:rsid w:val="2AAAFE4D"/>
    <w:rsid w:val="2D511CA9"/>
    <w:rsid w:val="32666A31"/>
    <w:rsid w:val="3E95EE64"/>
    <w:rsid w:val="406FC548"/>
    <w:rsid w:val="463F18BA"/>
    <w:rsid w:val="49762204"/>
    <w:rsid w:val="4A49FEFF"/>
    <w:rsid w:val="4B0B01F9"/>
    <w:rsid w:val="4C233D70"/>
    <w:rsid w:val="55B88038"/>
    <w:rsid w:val="5C896E71"/>
    <w:rsid w:val="615E1788"/>
    <w:rsid w:val="61E8046B"/>
    <w:rsid w:val="6D9C1506"/>
    <w:rsid w:val="71B9B444"/>
    <w:rsid w:val="7BFCA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74C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3C2C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615F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题注,Caption Equation,cap1,cap2,cap11,Légende-figure,Légende-figure Char,Beschrifubg,Beschriftung Char,label,cap11 Char,cap11 Char Char Char"/>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题注 Char,Caption Equation Char,cap1 Char,cap2 Char,cap11 Char1,Légende-figure Char1"/>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qFormat/>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CommentReference">
    <w:name w:val="annotation reference"/>
    <w:basedOn w:val="DefaultParagraphFont"/>
    <w:uiPriority w:val="99"/>
    <w:semiHidden/>
    <w:unhideWhenUsed/>
    <w:rsid w:val="00D05A22"/>
    <w:rPr>
      <w:sz w:val="16"/>
      <w:szCs w:val="16"/>
    </w:rPr>
  </w:style>
  <w:style w:type="paragraph" w:styleId="CommentText">
    <w:name w:val="annotation text"/>
    <w:basedOn w:val="Normal"/>
    <w:link w:val="CommentTextChar"/>
    <w:uiPriority w:val="99"/>
    <w:semiHidden/>
    <w:unhideWhenUsed/>
    <w:rsid w:val="00D05A22"/>
    <w:pPr>
      <w:spacing w:line="240" w:lineRule="auto"/>
    </w:pPr>
    <w:rPr>
      <w:szCs w:val="20"/>
    </w:rPr>
  </w:style>
  <w:style w:type="character" w:customStyle="1" w:styleId="CommentTextChar">
    <w:name w:val="Comment Text Char"/>
    <w:basedOn w:val="DefaultParagraphFont"/>
    <w:link w:val="CommentText"/>
    <w:uiPriority w:val="99"/>
    <w:semiHidden/>
    <w:rsid w:val="00D05A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05A22"/>
    <w:rPr>
      <w:b/>
      <w:bCs/>
    </w:rPr>
  </w:style>
  <w:style w:type="character" w:customStyle="1" w:styleId="CommentSubjectChar">
    <w:name w:val="Comment Subject Char"/>
    <w:basedOn w:val="CommentTextChar"/>
    <w:link w:val="CommentSubject"/>
    <w:uiPriority w:val="99"/>
    <w:semiHidden/>
    <w:rsid w:val="00D05A22"/>
    <w:rPr>
      <w:rFonts w:ascii="Times New Roman" w:hAnsi="Times New Roman"/>
      <w:b/>
      <w:bCs/>
      <w:sz w:val="20"/>
      <w:szCs w:val="20"/>
    </w:rPr>
  </w:style>
  <w:style w:type="table" w:customStyle="1" w:styleId="2">
    <w:name w:val="网格型2"/>
    <w:basedOn w:val="TableNormal"/>
    <w:next w:val="TableGrid"/>
    <w:rsid w:val="00506CEB"/>
    <w:pPr>
      <w:spacing w:after="180" w:line="240" w:lineRule="auto"/>
    </w:pPr>
    <w:rPr>
      <w:rFonts w:ascii="Tms Rmn" w:eastAsia="MS Mincho"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942E0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4226D8"/>
    <w:pPr>
      <w:widowControl w:val="0"/>
      <w:autoSpaceDE w:val="0"/>
      <w:autoSpaceDN w:val="0"/>
      <w:adjustRightInd w:val="0"/>
      <w:snapToGrid w:val="0"/>
      <w:spacing w:afterLines="50" w:after="0" w:line="264" w:lineRule="auto"/>
      <w:jc w:val="both"/>
    </w:pPr>
    <w:rPr>
      <w:rFonts w:eastAsia="Batang" w:cs="Times New Roman"/>
      <w:kern w:val="2"/>
      <w:sz w:val="22"/>
      <w:szCs w:val="24"/>
      <w:lang w:val="en-GB" w:eastAsia="ko-KR"/>
    </w:rPr>
  </w:style>
  <w:style w:type="character" w:customStyle="1" w:styleId="LGTdocChar">
    <w:name w:val="LGTdoc_본문 Char"/>
    <w:link w:val="LGTdoc"/>
    <w:qFormat/>
    <w:rsid w:val="004226D8"/>
    <w:rPr>
      <w:rFonts w:ascii="Times New Roman" w:eastAsia="Batang" w:hAnsi="Times New Roman" w:cs="Times New Roman"/>
      <w:kern w:val="2"/>
      <w:szCs w:val="24"/>
      <w:lang w:val="en-GB" w:eastAsia="ko-KR"/>
    </w:rPr>
  </w:style>
  <w:style w:type="paragraph" w:styleId="BodyText">
    <w:name w:val="Body Text"/>
    <w:basedOn w:val="Normal"/>
    <w:link w:val="BodyTextChar"/>
    <w:semiHidden/>
    <w:unhideWhenUsed/>
    <w:qFormat/>
    <w:rsid w:val="002A4E9B"/>
    <w:pPr>
      <w:widowControl w:val="0"/>
      <w:overflowPunct w:val="0"/>
      <w:autoSpaceDE w:val="0"/>
      <w:autoSpaceDN w:val="0"/>
      <w:adjustRightInd w:val="0"/>
      <w:spacing w:after="180" w:line="240" w:lineRule="auto"/>
    </w:pPr>
    <w:rPr>
      <w:rFonts w:eastAsia="MS Mincho" w:cs="Times New Roman"/>
      <w:i/>
      <w:szCs w:val="20"/>
    </w:rPr>
  </w:style>
  <w:style w:type="character" w:customStyle="1" w:styleId="BodyTextChar">
    <w:name w:val="Body Text Char"/>
    <w:basedOn w:val="DefaultParagraphFont"/>
    <w:link w:val="BodyText"/>
    <w:semiHidden/>
    <w:rsid w:val="002A4E9B"/>
    <w:rPr>
      <w:rFonts w:ascii="Times New Roman" w:eastAsia="MS Mincho" w:hAnsi="Times New Roman" w:cs="Times New Roman"/>
      <w:i/>
      <w:sz w:val="20"/>
      <w:szCs w:val="20"/>
    </w:rPr>
  </w:style>
  <w:style w:type="character" w:customStyle="1" w:styleId="B1Zchn">
    <w:name w:val="B1 Zchn"/>
    <w:qFormat/>
    <w:locked/>
    <w:rsid w:val="002A4E9B"/>
    <w:rPr>
      <w:lang w:val="en-GB"/>
    </w:rPr>
  </w:style>
  <w:style w:type="character" w:styleId="UnresolvedMention">
    <w:name w:val="Unresolved Mention"/>
    <w:basedOn w:val="DefaultParagraphFont"/>
    <w:uiPriority w:val="99"/>
    <w:semiHidden/>
    <w:unhideWhenUsed/>
    <w:rsid w:val="0080474E"/>
    <w:rPr>
      <w:color w:val="605E5C"/>
      <w:shd w:val="clear" w:color="auto" w:fill="E1DFDD"/>
    </w:rPr>
  </w:style>
  <w:style w:type="paragraph" w:customStyle="1" w:styleId="CRCoverPage">
    <w:name w:val="CR Cover Page"/>
    <w:link w:val="CRCoverPageChar"/>
    <w:rsid w:val="00835C1D"/>
    <w:pPr>
      <w:spacing w:after="120" w:line="240" w:lineRule="auto"/>
    </w:pPr>
    <w:rPr>
      <w:rFonts w:ascii="Arial" w:eastAsia="PMingLiU" w:hAnsi="Arial" w:cs="Times New Roman"/>
      <w:sz w:val="20"/>
      <w:szCs w:val="20"/>
      <w:lang w:val="en-GB"/>
    </w:rPr>
  </w:style>
  <w:style w:type="character" w:customStyle="1" w:styleId="CRCoverPageChar">
    <w:name w:val="CR Cover Page Char"/>
    <w:link w:val="CRCoverPage"/>
    <w:rsid w:val="00835C1D"/>
    <w:rPr>
      <w:rFonts w:ascii="Arial" w:eastAsia="PMingLiU" w:hAnsi="Arial" w:cs="Times New Roman"/>
      <w:sz w:val="20"/>
      <w:szCs w:val="20"/>
      <w:lang w:val="en-GB"/>
    </w:rPr>
  </w:style>
  <w:style w:type="character" w:customStyle="1" w:styleId="Heading4Char">
    <w:name w:val="Heading 4 Char"/>
    <w:basedOn w:val="DefaultParagraphFont"/>
    <w:link w:val="Heading4"/>
    <w:uiPriority w:val="9"/>
    <w:rsid w:val="005615F8"/>
    <w:rPr>
      <w:rFonts w:asciiTheme="majorHAnsi" w:eastAsiaTheme="majorEastAsia" w:hAnsiTheme="majorHAnsi" w:cstheme="majorBidi"/>
      <w:i/>
      <w:iCs/>
      <w:color w:val="2F5496" w:themeColor="accent1" w:themeShade="BF"/>
      <w:sz w:val="20"/>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3C2C7B"/>
    <w:rPr>
      <w:rFonts w:asciiTheme="majorHAnsi" w:eastAsiaTheme="majorEastAsia" w:hAnsiTheme="majorHAnsi" w:cstheme="majorBidi"/>
      <w:color w:val="1F3763" w:themeColor="accent1" w:themeShade="7F"/>
      <w:sz w:val="24"/>
      <w:szCs w:val="24"/>
    </w:rPr>
  </w:style>
  <w:style w:type="character" w:customStyle="1" w:styleId="B1Char1">
    <w:name w:val="B1 Char1"/>
    <w:qFormat/>
    <w:rsid w:val="00CC1B40"/>
    <w:rPr>
      <w:rFonts w:eastAsia="Times New Roman"/>
      <w:lang w:val="en-GB" w:eastAsia="ja-JP"/>
    </w:rPr>
  </w:style>
  <w:style w:type="paragraph" w:customStyle="1" w:styleId="B2">
    <w:name w:val="B2"/>
    <w:basedOn w:val="List2"/>
    <w:link w:val="B2Char"/>
    <w:qFormat/>
    <w:rsid w:val="003D57D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ja-JP"/>
    </w:rPr>
  </w:style>
  <w:style w:type="character" w:customStyle="1" w:styleId="B2Char">
    <w:name w:val="B2 Char"/>
    <w:link w:val="B2"/>
    <w:qFormat/>
    <w:rsid w:val="003D57DC"/>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3D57DC"/>
    <w:pPr>
      <w:ind w:left="720" w:hanging="360"/>
      <w:contextualSpacing/>
    </w:pPr>
  </w:style>
  <w:style w:type="paragraph" w:styleId="Revision">
    <w:name w:val="Revision"/>
    <w:hidden/>
    <w:uiPriority w:val="99"/>
    <w:semiHidden/>
    <w:rsid w:val="00452189"/>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781477">
      <w:bodyDiv w:val="1"/>
      <w:marLeft w:val="0"/>
      <w:marRight w:val="0"/>
      <w:marTop w:val="0"/>
      <w:marBottom w:val="0"/>
      <w:divBdr>
        <w:top w:val="none" w:sz="0" w:space="0" w:color="auto"/>
        <w:left w:val="none" w:sz="0" w:space="0" w:color="auto"/>
        <w:bottom w:val="none" w:sz="0" w:space="0" w:color="auto"/>
        <w:right w:val="none" w:sz="0" w:space="0" w:color="auto"/>
      </w:divBdr>
    </w:div>
    <w:div w:id="341203194">
      <w:bodyDiv w:val="1"/>
      <w:marLeft w:val="0"/>
      <w:marRight w:val="0"/>
      <w:marTop w:val="0"/>
      <w:marBottom w:val="0"/>
      <w:divBdr>
        <w:top w:val="none" w:sz="0" w:space="0" w:color="auto"/>
        <w:left w:val="none" w:sz="0" w:space="0" w:color="auto"/>
        <w:bottom w:val="none" w:sz="0" w:space="0" w:color="auto"/>
        <w:right w:val="none" w:sz="0" w:space="0" w:color="auto"/>
      </w:divBdr>
    </w:div>
    <w:div w:id="378896178">
      <w:bodyDiv w:val="1"/>
      <w:marLeft w:val="0"/>
      <w:marRight w:val="0"/>
      <w:marTop w:val="0"/>
      <w:marBottom w:val="0"/>
      <w:divBdr>
        <w:top w:val="none" w:sz="0" w:space="0" w:color="auto"/>
        <w:left w:val="none" w:sz="0" w:space="0" w:color="auto"/>
        <w:bottom w:val="none" w:sz="0" w:space="0" w:color="auto"/>
        <w:right w:val="none" w:sz="0" w:space="0" w:color="auto"/>
      </w:divBdr>
    </w:div>
    <w:div w:id="447357110">
      <w:bodyDiv w:val="1"/>
      <w:marLeft w:val="0"/>
      <w:marRight w:val="0"/>
      <w:marTop w:val="0"/>
      <w:marBottom w:val="0"/>
      <w:divBdr>
        <w:top w:val="none" w:sz="0" w:space="0" w:color="auto"/>
        <w:left w:val="none" w:sz="0" w:space="0" w:color="auto"/>
        <w:bottom w:val="none" w:sz="0" w:space="0" w:color="auto"/>
        <w:right w:val="none" w:sz="0" w:space="0" w:color="auto"/>
      </w:divBdr>
      <w:divsChild>
        <w:div w:id="200021898">
          <w:marLeft w:val="360"/>
          <w:marRight w:val="0"/>
          <w:marTop w:val="200"/>
          <w:marBottom w:val="0"/>
          <w:divBdr>
            <w:top w:val="none" w:sz="0" w:space="0" w:color="auto"/>
            <w:left w:val="none" w:sz="0" w:space="0" w:color="auto"/>
            <w:bottom w:val="none" w:sz="0" w:space="0" w:color="auto"/>
            <w:right w:val="none" w:sz="0" w:space="0" w:color="auto"/>
          </w:divBdr>
        </w:div>
      </w:divsChild>
    </w:div>
    <w:div w:id="475336464">
      <w:bodyDiv w:val="1"/>
      <w:marLeft w:val="0"/>
      <w:marRight w:val="0"/>
      <w:marTop w:val="0"/>
      <w:marBottom w:val="0"/>
      <w:divBdr>
        <w:top w:val="none" w:sz="0" w:space="0" w:color="auto"/>
        <w:left w:val="none" w:sz="0" w:space="0" w:color="auto"/>
        <w:bottom w:val="none" w:sz="0" w:space="0" w:color="auto"/>
        <w:right w:val="none" w:sz="0" w:space="0" w:color="auto"/>
      </w:divBdr>
    </w:div>
    <w:div w:id="476724248">
      <w:bodyDiv w:val="1"/>
      <w:marLeft w:val="0"/>
      <w:marRight w:val="0"/>
      <w:marTop w:val="0"/>
      <w:marBottom w:val="0"/>
      <w:divBdr>
        <w:top w:val="none" w:sz="0" w:space="0" w:color="auto"/>
        <w:left w:val="none" w:sz="0" w:space="0" w:color="auto"/>
        <w:bottom w:val="none" w:sz="0" w:space="0" w:color="auto"/>
        <w:right w:val="none" w:sz="0" w:space="0" w:color="auto"/>
      </w:divBdr>
    </w:div>
    <w:div w:id="510683900">
      <w:bodyDiv w:val="1"/>
      <w:marLeft w:val="0"/>
      <w:marRight w:val="0"/>
      <w:marTop w:val="0"/>
      <w:marBottom w:val="0"/>
      <w:divBdr>
        <w:top w:val="none" w:sz="0" w:space="0" w:color="auto"/>
        <w:left w:val="none" w:sz="0" w:space="0" w:color="auto"/>
        <w:bottom w:val="none" w:sz="0" w:space="0" w:color="auto"/>
        <w:right w:val="none" w:sz="0" w:space="0" w:color="auto"/>
      </w:divBdr>
    </w:div>
    <w:div w:id="571308479">
      <w:bodyDiv w:val="1"/>
      <w:marLeft w:val="0"/>
      <w:marRight w:val="0"/>
      <w:marTop w:val="0"/>
      <w:marBottom w:val="0"/>
      <w:divBdr>
        <w:top w:val="none" w:sz="0" w:space="0" w:color="auto"/>
        <w:left w:val="none" w:sz="0" w:space="0" w:color="auto"/>
        <w:bottom w:val="none" w:sz="0" w:space="0" w:color="auto"/>
        <w:right w:val="none" w:sz="0" w:space="0" w:color="auto"/>
      </w:divBdr>
      <w:divsChild>
        <w:div w:id="857039309">
          <w:marLeft w:val="360"/>
          <w:marRight w:val="0"/>
          <w:marTop w:val="200"/>
          <w:marBottom w:val="0"/>
          <w:divBdr>
            <w:top w:val="none" w:sz="0" w:space="0" w:color="auto"/>
            <w:left w:val="none" w:sz="0" w:space="0" w:color="auto"/>
            <w:bottom w:val="none" w:sz="0" w:space="0" w:color="auto"/>
            <w:right w:val="none" w:sz="0" w:space="0" w:color="auto"/>
          </w:divBdr>
        </w:div>
      </w:divsChild>
    </w:div>
    <w:div w:id="587274723">
      <w:bodyDiv w:val="1"/>
      <w:marLeft w:val="0"/>
      <w:marRight w:val="0"/>
      <w:marTop w:val="0"/>
      <w:marBottom w:val="0"/>
      <w:divBdr>
        <w:top w:val="none" w:sz="0" w:space="0" w:color="auto"/>
        <w:left w:val="none" w:sz="0" w:space="0" w:color="auto"/>
        <w:bottom w:val="none" w:sz="0" w:space="0" w:color="auto"/>
        <w:right w:val="none" w:sz="0" w:space="0" w:color="auto"/>
      </w:divBdr>
    </w:div>
    <w:div w:id="654651753">
      <w:bodyDiv w:val="1"/>
      <w:marLeft w:val="0"/>
      <w:marRight w:val="0"/>
      <w:marTop w:val="0"/>
      <w:marBottom w:val="0"/>
      <w:divBdr>
        <w:top w:val="none" w:sz="0" w:space="0" w:color="auto"/>
        <w:left w:val="none" w:sz="0" w:space="0" w:color="auto"/>
        <w:bottom w:val="none" w:sz="0" w:space="0" w:color="auto"/>
        <w:right w:val="none" w:sz="0" w:space="0" w:color="auto"/>
      </w:divBdr>
      <w:divsChild>
        <w:div w:id="1133522788">
          <w:marLeft w:val="360"/>
          <w:marRight w:val="0"/>
          <w:marTop w:val="200"/>
          <w:marBottom w:val="0"/>
          <w:divBdr>
            <w:top w:val="none" w:sz="0" w:space="0" w:color="auto"/>
            <w:left w:val="none" w:sz="0" w:space="0" w:color="auto"/>
            <w:bottom w:val="none" w:sz="0" w:space="0" w:color="auto"/>
            <w:right w:val="none" w:sz="0" w:space="0" w:color="auto"/>
          </w:divBdr>
        </w:div>
      </w:divsChild>
    </w:div>
    <w:div w:id="755442170">
      <w:bodyDiv w:val="1"/>
      <w:marLeft w:val="0"/>
      <w:marRight w:val="0"/>
      <w:marTop w:val="0"/>
      <w:marBottom w:val="0"/>
      <w:divBdr>
        <w:top w:val="none" w:sz="0" w:space="0" w:color="auto"/>
        <w:left w:val="none" w:sz="0" w:space="0" w:color="auto"/>
        <w:bottom w:val="none" w:sz="0" w:space="0" w:color="auto"/>
        <w:right w:val="none" w:sz="0" w:space="0" w:color="auto"/>
      </w:divBdr>
    </w:div>
    <w:div w:id="824587688">
      <w:bodyDiv w:val="1"/>
      <w:marLeft w:val="0"/>
      <w:marRight w:val="0"/>
      <w:marTop w:val="0"/>
      <w:marBottom w:val="0"/>
      <w:divBdr>
        <w:top w:val="none" w:sz="0" w:space="0" w:color="auto"/>
        <w:left w:val="none" w:sz="0" w:space="0" w:color="auto"/>
        <w:bottom w:val="none" w:sz="0" w:space="0" w:color="auto"/>
        <w:right w:val="none" w:sz="0" w:space="0" w:color="auto"/>
      </w:divBdr>
      <w:divsChild>
        <w:div w:id="588076276">
          <w:marLeft w:val="1080"/>
          <w:marRight w:val="0"/>
          <w:marTop w:val="100"/>
          <w:marBottom w:val="0"/>
          <w:divBdr>
            <w:top w:val="none" w:sz="0" w:space="0" w:color="auto"/>
            <w:left w:val="none" w:sz="0" w:space="0" w:color="auto"/>
            <w:bottom w:val="none" w:sz="0" w:space="0" w:color="auto"/>
            <w:right w:val="none" w:sz="0" w:space="0" w:color="auto"/>
          </w:divBdr>
        </w:div>
        <w:div w:id="843476439">
          <w:marLeft w:val="360"/>
          <w:marRight w:val="0"/>
          <w:marTop w:val="200"/>
          <w:marBottom w:val="0"/>
          <w:divBdr>
            <w:top w:val="none" w:sz="0" w:space="0" w:color="auto"/>
            <w:left w:val="none" w:sz="0" w:space="0" w:color="auto"/>
            <w:bottom w:val="none" w:sz="0" w:space="0" w:color="auto"/>
            <w:right w:val="none" w:sz="0" w:space="0" w:color="auto"/>
          </w:divBdr>
        </w:div>
      </w:divsChild>
    </w:div>
    <w:div w:id="1068460328">
      <w:bodyDiv w:val="1"/>
      <w:marLeft w:val="0"/>
      <w:marRight w:val="0"/>
      <w:marTop w:val="0"/>
      <w:marBottom w:val="0"/>
      <w:divBdr>
        <w:top w:val="none" w:sz="0" w:space="0" w:color="auto"/>
        <w:left w:val="none" w:sz="0" w:space="0" w:color="auto"/>
        <w:bottom w:val="none" w:sz="0" w:space="0" w:color="auto"/>
        <w:right w:val="none" w:sz="0" w:space="0" w:color="auto"/>
      </w:divBdr>
      <w:divsChild>
        <w:div w:id="1331560550">
          <w:marLeft w:val="360"/>
          <w:marRight w:val="0"/>
          <w:marTop w:val="200"/>
          <w:marBottom w:val="0"/>
          <w:divBdr>
            <w:top w:val="none" w:sz="0" w:space="0" w:color="auto"/>
            <w:left w:val="none" w:sz="0" w:space="0" w:color="auto"/>
            <w:bottom w:val="none" w:sz="0" w:space="0" w:color="auto"/>
            <w:right w:val="none" w:sz="0" w:space="0" w:color="auto"/>
          </w:divBdr>
        </w:div>
      </w:divsChild>
    </w:div>
    <w:div w:id="1227497054">
      <w:bodyDiv w:val="1"/>
      <w:marLeft w:val="0"/>
      <w:marRight w:val="0"/>
      <w:marTop w:val="0"/>
      <w:marBottom w:val="0"/>
      <w:divBdr>
        <w:top w:val="none" w:sz="0" w:space="0" w:color="auto"/>
        <w:left w:val="none" w:sz="0" w:space="0" w:color="auto"/>
        <w:bottom w:val="none" w:sz="0" w:space="0" w:color="auto"/>
        <w:right w:val="none" w:sz="0" w:space="0" w:color="auto"/>
      </w:divBdr>
      <w:divsChild>
        <w:div w:id="1328820816">
          <w:marLeft w:val="720"/>
          <w:marRight w:val="0"/>
          <w:marTop w:val="0"/>
          <w:marBottom w:val="60"/>
          <w:divBdr>
            <w:top w:val="none" w:sz="0" w:space="0" w:color="auto"/>
            <w:left w:val="none" w:sz="0" w:space="0" w:color="auto"/>
            <w:bottom w:val="none" w:sz="0" w:space="0" w:color="auto"/>
            <w:right w:val="none" w:sz="0" w:space="0" w:color="auto"/>
          </w:divBdr>
        </w:div>
      </w:divsChild>
    </w:div>
    <w:div w:id="1330787123">
      <w:bodyDiv w:val="1"/>
      <w:marLeft w:val="0"/>
      <w:marRight w:val="0"/>
      <w:marTop w:val="0"/>
      <w:marBottom w:val="0"/>
      <w:divBdr>
        <w:top w:val="none" w:sz="0" w:space="0" w:color="auto"/>
        <w:left w:val="none" w:sz="0" w:space="0" w:color="auto"/>
        <w:bottom w:val="none" w:sz="0" w:space="0" w:color="auto"/>
        <w:right w:val="none" w:sz="0" w:space="0" w:color="auto"/>
      </w:divBdr>
      <w:divsChild>
        <w:div w:id="1169757660">
          <w:marLeft w:val="360"/>
          <w:marRight w:val="0"/>
          <w:marTop w:val="200"/>
          <w:marBottom w:val="0"/>
          <w:divBdr>
            <w:top w:val="none" w:sz="0" w:space="0" w:color="auto"/>
            <w:left w:val="none" w:sz="0" w:space="0" w:color="auto"/>
            <w:bottom w:val="none" w:sz="0" w:space="0" w:color="auto"/>
            <w:right w:val="none" w:sz="0" w:space="0" w:color="auto"/>
          </w:divBdr>
        </w:div>
        <w:div w:id="1722092804">
          <w:marLeft w:val="1080"/>
          <w:marRight w:val="0"/>
          <w:marTop w:val="100"/>
          <w:marBottom w:val="0"/>
          <w:divBdr>
            <w:top w:val="none" w:sz="0" w:space="0" w:color="auto"/>
            <w:left w:val="none" w:sz="0" w:space="0" w:color="auto"/>
            <w:bottom w:val="none" w:sz="0" w:space="0" w:color="auto"/>
            <w:right w:val="none" w:sz="0" w:space="0" w:color="auto"/>
          </w:divBdr>
        </w:div>
      </w:divsChild>
    </w:div>
    <w:div w:id="1535580626">
      <w:bodyDiv w:val="1"/>
      <w:marLeft w:val="0"/>
      <w:marRight w:val="0"/>
      <w:marTop w:val="0"/>
      <w:marBottom w:val="0"/>
      <w:divBdr>
        <w:top w:val="none" w:sz="0" w:space="0" w:color="auto"/>
        <w:left w:val="none" w:sz="0" w:space="0" w:color="auto"/>
        <w:bottom w:val="none" w:sz="0" w:space="0" w:color="auto"/>
        <w:right w:val="none" w:sz="0" w:space="0" w:color="auto"/>
      </w:divBdr>
    </w:div>
    <w:div w:id="1564367488">
      <w:bodyDiv w:val="1"/>
      <w:marLeft w:val="0"/>
      <w:marRight w:val="0"/>
      <w:marTop w:val="0"/>
      <w:marBottom w:val="0"/>
      <w:divBdr>
        <w:top w:val="none" w:sz="0" w:space="0" w:color="auto"/>
        <w:left w:val="none" w:sz="0" w:space="0" w:color="auto"/>
        <w:bottom w:val="none" w:sz="0" w:space="0" w:color="auto"/>
        <w:right w:val="none" w:sz="0" w:space="0" w:color="auto"/>
      </w:divBdr>
    </w:div>
    <w:div w:id="1594779896">
      <w:bodyDiv w:val="1"/>
      <w:marLeft w:val="0"/>
      <w:marRight w:val="0"/>
      <w:marTop w:val="0"/>
      <w:marBottom w:val="0"/>
      <w:divBdr>
        <w:top w:val="none" w:sz="0" w:space="0" w:color="auto"/>
        <w:left w:val="none" w:sz="0" w:space="0" w:color="auto"/>
        <w:bottom w:val="none" w:sz="0" w:space="0" w:color="auto"/>
        <w:right w:val="none" w:sz="0" w:space="0" w:color="auto"/>
      </w:divBdr>
    </w:div>
    <w:div w:id="1777288763">
      <w:bodyDiv w:val="1"/>
      <w:marLeft w:val="0"/>
      <w:marRight w:val="0"/>
      <w:marTop w:val="0"/>
      <w:marBottom w:val="0"/>
      <w:divBdr>
        <w:top w:val="none" w:sz="0" w:space="0" w:color="auto"/>
        <w:left w:val="none" w:sz="0" w:space="0" w:color="auto"/>
        <w:bottom w:val="none" w:sz="0" w:space="0" w:color="auto"/>
        <w:right w:val="none" w:sz="0" w:space="0" w:color="auto"/>
      </w:divBdr>
    </w:div>
    <w:div w:id="1887790850">
      <w:bodyDiv w:val="1"/>
      <w:marLeft w:val="0"/>
      <w:marRight w:val="0"/>
      <w:marTop w:val="0"/>
      <w:marBottom w:val="0"/>
      <w:divBdr>
        <w:top w:val="none" w:sz="0" w:space="0" w:color="auto"/>
        <w:left w:val="none" w:sz="0" w:space="0" w:color="auto"/>
        <w:bottom w:val="none" w:sz="0" w:space="0" w:color="auto"/>
        <w:right w:val="none" w:sz="0" w:space="0" w:color="auto"/>
      </w:divBdr>
      <w:divsChild>
        <w:div w:id="1245145432">
          <w:marLeft w:val="634"/>
          <w:marRight w:val="0"/>
          <w:marTop w:val="0"/>
          <w:marBottom w:val="60"/>
          <w:divBdr>
            <w:top w:val="none" w:sz="0" w:space="0" w:color="auto"/>
            <w:left w:val="none" w:sz="0" w:space="0" w:color="auto"/>
            <w:bottom w:val="none" w:sz="0" w:space="0" w:color="auto"/>
            <w:right w:val="none" w:sz="0" w:space="0" w:color="auto"/>
          </w:divBdr>
        </w:div>
      </w:divsChild>
    </w:div>
    <w:div w:id="2000110516">
      <w:bodyDiv w:val="1"/>
      <w:marLeft w:val="0"/>
      <w:marRight w:val="0"/>
      <w:marTop w:val="0"/>
      <w:marBottom w:val="0"/>
      <w:divBdr>
        <w:top w:val="none" w:sz="0" w:space="0" w:color="auto"/>
        <w:left w:val="none" w:sz="0" w:space="0" w:color="auto"/>
        <w:bottom w:val="none" w:sz="0" w:space="0" w:color="auto"/>
        <w:right w:val="none" w:sz="0" w:space="0" w:color="auto"/>
      </w:divBdr>
    </w:div>
    <w:div w:id="2039505583">
      <w:bodyDiv w:val="1"/>
      <w:marLeft w:val="0"/>
      <w:marRight w:val="0"/>
      <w:marTop w:val="0"/>
      <w:marBottom w:val="0"/>
      <w:divBdr>
        <w:top w:val="none" w:sz="0" w:space="0" w:color="auto"/>
        <w:left w:val="none" w:sz="0" w:space="0" w:color="auto"/>
        <w:bottom w:val="none" w:sz="0" w:space="0" w:color="auto"/>
        <w:right w:val="none" w:sz="0" w:space="0" w:color="auto"/>
      </w:divBdr>
      <w:divsChild>
        <w:div w:id="1354918873">
          <w:marLeft w:val="360"/>
          <w:marRight w:val="0"/>
          <w:marTop w:val="200"/>
          <w:marBottom w:val="0"/>
          <w:divBdr>
            <w:top w:val="none" w:sz="0" w:space="0" w:color="auto"/>
            <w:left w:val="none" w:sz="0" w:space="0" w:color="auto"/>
            <w:bottom w:val="none" w:sz="0" w:space="0" w:color="auto"/>
            <w:right w:val="none" w:sz="0" w:space="0" w:color="auto"/>
          </w:divBdr>
        </w:div>
      </w:divsChild>
    </w:div>
    <w:div w:id="2118257943">
      <w:bodyDiv w:val="1"/>
      <w:marLeft w:val="0"/>
      <w:marRight w:val="0"/>
      <w:marTop w:val="0"/>
      <w:marBottom w:val="0"/>
      <w:divBdr>
        <w:top w:val="none" w:sz="0" w:space="0" w:color="auto"/>
        <w:left w:val="none" w:sz="0" w:space="0" w:color="auto"/>
        <w:bottom w:val="none" w:sz="0" w:space="0" w:color="auto"/>
        <w:right w:val="none" w:sz="0" w:space="0" w:color="auto"/>
      </w:divBdr>
      <w:divsChild>
        <w:div w:id="91319805">
          <w:marLeft w:val="360"/>
          <w:marRight w:val="0"/>
          <w:marTop w:val="200"/>
          <w:marBottom w:val="180"/>
          <w:divBdr>
            <w:top w:val="none" w:sz="0" w:space="0" w:color="auto"/>
            <w:left w:val="none" w:sz="0" w:space="0" w:color="auto"/>
            <w:bottom w:val="none" w:sz="0" w:space="0" w:color="auto"/>
            <w:right w:val="none" w:sz="0" w:space="0" w:color="auto"/>
          </w:divBdr>
        </w:div>
        <w:div w:id="373769581">
          <w:marLeft w:val="1080"/>
          <w:marRight w:val="0"/>
          <w:marTop w:val="100"/>
          <w:marBottom w:val="0"/>
          <w:divBdr>
            <w:top w:val="none" w:sz="0" w:space="0" w:color="auto"/>
            <w:left w:val="none" w:sz="0" w:space="0" w:color="auto"/>
            <w:bottom w:val="none" w:sz="0" w:space="0" w:color="auto"/>
            <w:right w:val="none" w:sz="0" w:space="0" w:color="auto"/>
          </w:divBdr>
        </w:div>
        <w:div w:id="167202557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5AIRPNAIUNRU-1328258698-10103</_dlc_DocId>
    <_dlc_DocIdUrl xmlns="71c5aaf6-e6ce-465b-b873-5148d2a4c105">
      <Url>https://nokia.sharepoint.com/sites/c5g/5gradio/_layouts/15/DocIdRedir.aspx?ID=5AIRPNAIUNRU-1328258698-10103</Url>
      <Description>5AIRPNAIUNRU-1328258698-10103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C7BBD4-17EB-414D-A80D-C71EC2B52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93DA8-32FB-4724-844D-403E119D184A}">
  <ds:schemaRefs>
    <ds:schemaRef ds:uri="Microsoft.SharePoint.Taxonomy.ContentTypeSync"/>
  </ds:schemaRefs>
</ds:datastoreItem>
</file>

<file path=customXml/itemProps3.xml><?xml version="1.0" encoding="utf-8"?>
<ds:datastoreItem xmlns:ds="http://schemas.openxmlformats.org/officeDocument/2006/customXml" ds:itemID="{3C22A84C-8993-40D8-8B85-B28DAAD6D06A}">
  <ds:schemaRefs>
    <ds:schemaRef ds:uri="http://schemas.microsoft.com/sharepoint/v3/contenttype/forms"/>
  </ds:schemaRefs>
</ds:datastoreItem>
</file>

<file path=customXml/itemProps4.xml><?xml version="1.0" encoding="utf-8"?>
<ds:datastoreItem xmlns:ds="http://schemas.openxmlformats.org/officeDocument/2006/customXml" ds:itemID="{4F411B42-3AA7-44D4-8485-FF97A716614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6B39F70-D612-48EE-916B-C2D14374BD1A}">
  <ds:schemaRefs>
    <ds:schemaRef ds:uri="http://schemas.openxmlformats.org/officeDocument/2006/bibliography"/>
  </ds:schemaRefs>
</ds:datastoreItem>
</file>

<file path=customXml/itemProps6.xml><?xml version="1.0" encoding="utf-8"?>
<ds:datastoreItem xmlns:ds="http://schemas.openxmlformats.org/officeDocument/2006/customXml" ds:itemID="{02E6BB6F-325C-421B-8DED-D006C33A9F9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1531</Words>
  <Characters>9340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On general RRM requirements and UE capabilities for RedCap</vt:lpstr>
    </vt:vector>
  </TitlesOfParts>
  <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DRX configuration for EN-DC, NR-DC and NE-DC</dc:title>
  <dc:subject/>
  <dc:creator/>
  <cp:keywords/>
  <dc:description/>
  <cp:lastModifiedBy/>
  <cp:revision>1</cp:revision>
  <dcterms:created xsi:type="dcterms:W3CDTF">2022-02-14T13:09:00Z</dcterms:created>
  <dcterms:modified xsi:type="dcterms:W3CDTF">2022-02-14T18:37:00Z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0cb9576f-f16c-42db-878c-8794b09d3332</vt:lpwstr>
  </property>
</Properties>
</file>